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D67" w:rsidRDefault="00057D67" w:rsidP="00057D67">
      <w:pPr>
        <w:pStyle w:val="Kop1"/>
      </w:pPr>
      <w:bookmarkStart w:id="0" w:name="_Toc407422984"/>
      <w:bookmarkStart w:id="1" w:name="_Toc407423159"/>
      <w:bookmarkStart w:id="2" w:name="_Toc407423755"/>
      <w:bookmarkStart w:id="3" w:name="_Toc407425392"/>
      <w:bookmarkStart w:id="4" w:name="_Toc407425619"/>
      <w:bookmarkStart w:id="5" w:name="_Toc407425646"/>
      <w:bookmarkStart w:id="6" w:name="_Toc407587706"/>
      <w:bookmarkStart w:id="7" w:name="_Toc4308129"/>
      <w:bookmarkStart w:id="8" w:name="_Toc278525310"/>
      <w:bookmarkStart w:id="9" w:name="_Toc279568970"/>
      <w:bookmarkStart w:id="10" w:name="_Toc279569100"/>
      <w:bookmarkStart w:id="11" w:name="_Toc456249649"/>
      <w:r>
        <w:t>wijze van beoordeling en interpretatie</w:t>
      </w:r>
      <w:bookmarkEnd w:id="0"/>
      <w:bookmarkEnd w:id="1"/>
      <w:bookmarkEnd w:id="2"/>
      <w:bookmarkEnd w:id="3"/>
      <w:bookmarkEnd w:id="4"/>
      <w:bookmarkEnd w:id="5"/>
      <w:bookmarkEnd w:id="6"/>
      <w:bookmarkEnd w:id="7"/>
      <w:bookmarkEnd w:id="8"/>
      <w:bookmarkEnd w:id="9"/>
      <w:bookmarkEnd w:id="10"/>
      <w:bookmarkEnd w:id="11"/>
    </w:p>
    <w:p w:rsidR="00057D67" w:rsidRDefault="00057D67" w:rsidP="00057D67">
      <w:pPr>
        <w:pStyle w:val="Kop2"/>
      </w:pPr>
      <w:bookmarkStart w:id="12" w:name="_Toc393525839"/>
      <w:bookmarkStart w:id="13" w:name="_Toc394317344"/>
      <w:bookmarkStart w:id="14" w:name="_Toc412723063"/>
      <w:bookmarkStart w:id="15" w:name="_Toc456249650"/>
      <w:r>
        <w:t>Bodem</w:t>
      </w:r>
      <w:bookmarkEnd w:id="12"/>
      <w:bookmarkEnd w:id="13"/>
      <w:bookmarkEnd w:id="14"/>
      <w:bookmarkEnd w:id="15"/>
    </w:p>
    <w:p w:rsidR="00057D67" w:rsidRDefault="00057D67" w:rsidP="00057D67">
      <w:pPr>
        <w:rPr>
          <w:i/>
          <w:iCs/>
          <w:sz w:val="18"/>
          <w:szCs w:val="18"/>
        </w:rPr>
      </w:pPr>
      <w:r>
        <w:t xml:space="preserve">De </w:t>
      </w:r>
      <w:proofErr w:type="spellStart"/>
      <w:r>
        <w:t>verontreinigingssituatie</w:t>
      </w:r>
      <w:proofErr w:type="spellEnd"/>
      <w:r>
        <w:t xml:space="preserve"> van de vaste bodem kan worden beoordeeld door toetsing van de gem</w:t>
      </w:r>
      <w:r>
        <w:t>e</w:t>
      </w:r>
      <w:r>
        <w:t>ten gehaltes aan de achtergrond- en interventiewaarde [3 &amp; 4]. De streefwaarden voor grond zijn per 1 oktober 2008 vervangen door de achtergrondwaarden (AW2000), deze zijn vastgesteld in het Reg</w:t>
      </w:r>
      <w:r>
        <w:t>e</w:t>
      </w:r>
      <w:r>
        <w:t>ling bodemkwaliteit [5]. De achtergrondwaarden zijn landelijk vastgesteld en worden in het Besluit bodemkwaliteit als volgt gedefinieerd:</w:t>
      </w:r>
    </w:p>
    <w:p w:rsidR="00057D67" w:rsidRDefault="00057D67" w:rsidP="00057D67">
      <w:pPr>
        <w:spacing w:line="240" w:lineRule="auto"/>
        <w:rPr>
          <w:i/>
          <w:iCs/>
          <w:sz w:val="18"/>
          <w:szCs w:val="18"/>
        </w:rPr>
      </w:pPr>
    </w:p>
    <w:p w:rsidR="00057D67" w:rsidRDefault="00057D67" w:rsidP="00057D67">
      <w:pPr>
        <w:rPr>
          <w:szCs w:val="18"/>
        </w:rPr>
      </w:pPr>
      <w:r>
        <w:rPr>
          <w:i/>
          <w:iCs/>
          <w:szCs w:val="18"/>
        </w:rPr>
        <w:t>Achtergrondwaarden</w:t>
      </w:r>
      <w:r>
        <w:rPr>
          <w:szCs w:val="18"/>
        </w:rPr>
        <w:t xml:space="preserve">: bij regeling van Onze Ministers vastgestelde gehaltes aan chemische stoffen voor een goede bodemkwaliteit, waarvoor geldt dat er geen sprake is van belasting door lokale </w:t>
      </w:r>
      <w:proofErr w:type="spellStart"/>
      <w:r>
        <w:rPr>
          <w:szCs w:val="18"/>
        </w:rPr>
        <w:t>ve</w:t>
      </w:r>
      <w:r>
        <w:rPr>
          <w:szCs w:val="18"/>
        </w:rPr>
        <w:t>r</w:t>
      </w:r>
      <w:r>
        <w:rPr>
          <w:szCs w:val="18"/>
        </w:rPr>
        <w:t>ontreinigingsbronnen</w:t>
      </w:r>
      <w:proofErr w:type="spellEnd"/>
      <w:r>
        <w:rPr>
          <w:szCs w:val="18"/>
        </w:rPr>
        <w:t>.</w:t>
      </w:r>
    </w:p>
    <w:p w:rsidR="00057D67" w:rsidRDefault="00057D67" w:rsidP="00057D67">
      <w:pPr>
        <w:spacing w:line="240" w:lineRule="auto"/>
        <w:rPr>
          <w:szCs w:val="18"/>
        </w:rPr>
      </w:pPr>
    </w:p>
    <w:p w:rsidR="00057D67" w:rsidRDefault="00057D67" w:rsidP="00057D67">
      <w:pPr>
        <w:rPr>
          <w:sz w:val="18"/>
          <w:szCs w:val="18"/>
        </w:rPr>
      </w:pPr>
      <w:r>
        <w:rPr>
          <w:szCs w:val="18"/>
        </w:rPr>
        <w:t>In gemeenten die beschikken over een bodemkwaliteitskaart kan bij een overschrijding van de achtergrondwaarde getoetst worden aan de P90-waarde. Deze geeft een regionaal vastgestelde ve</w:t>
      </w:r>
      <w:r>
        <w:rPr>
          <w:szCs w:val="18"/>
        </w:rPr>
        <w:t>r</w:t>
      </w:r>
      <w:r>
        <w:rPr>
          <w:szCs w:val="18"/>
        </w:rPr>
        <w:t>hoogde achtergrondwaarde aan.</w:t>
      </w:r>
    </w:p>
    <w:p w:rsidR="00057D67" w:rsidRDefault="00057D67" w:rsidP="00057D67">
      <w:pPr>
        <w:rPr>
          <w:sz w:val="18"/>
          <w:szCs w:val="18"/>
        </w:rPr>
      </w:pPr>
    </w:p>
    <w:p w:rsidR="00057D67" w:rsidRDefault="00057D67" w:rsidP="00057D67">
      <w:r>
        <w:t>Het grondwater wordt getoetst aan de streef- en interventiewaarden. De streef- en interventiewaa</w:t>
      </w:r>
      <w:r>
        <w:t>r</w:t>
      </w:r>
      <w:r>
        <w:t xml:space="preserve">den voor grondwater zijn vastgelegd in de Circulaire bodemsanering 2009 [3]. De streefwaarden geven het niveau aan waarbij sprake is van een duurzame bodemkwaliteit. In het </w:t>
      </w:r>
      <w:proofErr w:type="spellStart"/>
      <w:r>
        <w:t>bodembesche</w:t>
      </w:r>
      <w:r>
        <w:t>r</w:t>
      </w:r>
      <w:r>
        <w:t>mingsbeleid</w:t>
      </w:r>
      <w:proofErr w:type="spellEnd"/>
      <w:r>
        <w:t xml:space="preserve"> geven zij het te bereiken en te behouden kwaliteitsniveau voor de bodem aan. </w:t>
      </w:r>
    </w:p>
    <w:p w:rsidR="00057D67" w:rsidRDefault="00057D67" w:rsidP="00057D67">
      <w:pPr>
        <w:spacing w:line="240" w:lineRule="auto"/>
      </w:pPr>
    </w:p>
    <w:p w:rsidR="00057D67" w:rsidRDefault="00057D67" w:rsidP="00057D67">
      <w:r>
        <w:t xml:space="preserve">De interventiewaarden geven aan wanneer de functionele eigenschappen die de vaste bodem en het grondwater hebben voor mens, dier en plant ernstig zijn of dreigen te worden verminderd. Om van een </w:t>
      </w:r>
      <w:r>
        <w:rPr>
          <w:i/>
        </w:rPr>
        <w:t>“geval van ernstige bodemverontreiniging”</w:t>
      </w:r>
      <w:r>
        <w:t xml:space="preserve"> te spreken dient voor ten minste één stof de gemi</w:t>
      </w:r>
      <w:r>
        <w:t>d</w:t>
      </w:r>
      <w:r>
        <w:t xml:space="preserve">delde concentratie van minimaal 25 </w:t>
      </w:r>
      <w:proofErr w:type="spellStart"/>
      <w:r>
        <w:t>m³</w:t>
      </w:r>
      <w:proofErr w:type="spellEnd"/>
      <w:r>
        <w:t xml:space="preserve"> grond of 100 </w:t>
      </w:r>
      <w:proofErr w:type="spellStart"/>
      <w:r>
        <w:t>m³</w:t>
      </w:r>
      <w:proofErr w:type="spellEnd"/>
      <w:r>
        <w:t xml:space="preserve"> grondwater hoger te zijn dan de interve</w:t>
      </w:r>
      <w:r>
        <w:t>n</w:t>
      </w:r>
      <w:r>
        <w:t>tiewaarde.</w:t>
      </w:r>
    </w:p>
    <w:p w:rsidR="00057D67" w:rsidRDefault="00057D67" w:rsidP="00057D67">
      <w:pPr>
        <w:spacing w:line="240" w:lineRule="auto"/>
      </w:pPr>
    </w:p>
    <w:p w:rsidR="00057D67" w:rsidRDefault="00057D67" w:rsidP="00057D67">
      <w:r>
        <w:t>In bijzondere situaties, zoals bij volkstuinen en bij kruipruimten, kan reeds bij een geringere omvang en bij gehaltes beneden de interventiewaarden sprake zijn van een geval van ernstige bodemveron</w:t>
      </w:r>
      <w:r>
        <w:t>t</w:t>
      </w:r>
      <w:r>
        <w:t>reiniging. Op grond van de daadwerkelijk optredende blootstelling aan de verontreiniging dient b</w:t>
      </w:r>
      <w:r>
        <w:t>e</w:t>
      </w:r>
      <w:r>
        <w:t>keken te worden of onaanvaardbare risico’s voor mensen en/of ecosystemen optreden.</w:t>
      </w:r>
    </w:p>
    <w:p w:rsidR="00057D67" w:rsidRDefault="00057D67" w:rsidP="00057D67"/>
    <w:p w:rsidR="00057D67" w:rsidRDefault="00057D67" w:rsidP="00057D67"/>
    <w:p w:rsidR="00057D67" w:rsidRDefault="00057D67" w:rsidP="00057D67"/>
    <w:p w:rsidR="00057D67" w:rsidRDefault="00057D67" w:rsidP="00057D67"/>
    <w:p w:rsidR="00057D67" w:rsidRDefault="00057D67" w:rsidP="00057D67">
      <w:r>
        <w:t>Uit de NEN 5740 [1] kan het volgende worden afgeleid. Uitvoering van vervolgonderzoek is in de meeste gevallen alleen noodzakelijk wanneer de concentratie van een stof de tussenwaarde ove</w:t>
      </w:r>
      <w:r>
        <w:t>r</w:t>
      </w:r>
      <w:r>
        <w:t xml:space="preserve">schrijdt. Deze waarde wordt ook in de circulaire Bodemsanering gehanteerd als de concentratiegrens </w:t>
      </w:r>
    </w:p>
    <w:p w:rsidR="00057D67" w:rsidRDefault="00057D67" w:rsidP="00057D67">
      <w:r>
        <w:t>waarboven een nader onderzoek moet worden uitgevoerd. De tussenwaarde betreft de halve som van de achtergrond- ofwel streefwaarde en de interventiewaarde. Bij overschrijding van de interve</w:t>
      </w:r>
      <w:r>
        <w:t>n</w:t>
      </w:r>
      <w:r>
        <w:t>tiewaarde wordt vaak een nader onderzoek uitgevoerd om de ernst van de verontreiniging en de spoedeisendheid van de sanering te bepalen.</w:t>
      </w:r>
    </w:p>
    <w:p w:rsidR="00057D67" w:rsidRDefault="00057D67" w:rsidP="00057D67">
      <w:pPr>
        <w:pStyle w:val="lijst-vervolg"/>
        <w:spacing w:line="240" w:lineRule="auto"/>
      </w:pPr>
    </w:p>
    <w:p w:rsidR="00057D67" w:rsidRDefault="00057D67" w:rsidP="00057D67">
      <w:r>
        <w:t>In onderhavig rapport wordt de volgende terminologie gebruikt om de mate van verontreiniging aan te geven:</w:t>
      </w:r>
    </w:p>
    <w:p w:rsidR="00057D67" w:rsidRDefault="00057D67" w:rsidP="00057D67">
      <w:pPr>
        <w:spacing w:line="240" w:lineRule="auto"/>
      </w:pPr>
    </w:p>
    <w:p w:rsidR="00057D67" w:rsidRDefault="00057D67" w:rsidP="00057D67">
      <w:pPr>
        <w:pStyle w:val="lijst"/>
        <w:spacing w:line="240" w:lineRule="auto"/>
      </w:pPr>
      <w:r>
        <w:t>niet verontreinigd/verhoogd (-):</w:t>
      </w:r>
    </w:p>
    <w:p w:rsidR="00057D67" w:rsidRDefault="00057D67" w:rsidP="00057D67">
      <w:pPr>
        <w:pStyle w:val="lijst-vervolg"/>
        <w:spacing w:line="240" w:lineRule="auto"/>
      </w:pPr>
      <w:r>
        <w:t>de concentratie aan verontreiniging is lager dan of gelijk aan de achtergrondwaarde/ stree</w:t>
      </w:r>
      <w:r>
        <w:t>f</w:t>
      </w:r>
      <w:r>
        <w:t>waarde;</w:t>
      </w:r>
    </w:p>
    <w:p w:rsidR="00057D67" w:rsidRDefault="00057D67" w:rsidP="00057D67">
      <w:pPr>
        <w:pStyle w:val="lijst"/>
        <w:numPr>
          <w:ilvl w:val="0"/>
          <w:numId w:val="2"/>
        </w:numPr>
        <w:tabs>
          <w:tab w:val="num" w:pos="400"/>
        </w:tabs>
        <w:spacing w:line="240" w:lineRule="auto"/>
      </w:pPr>
      <w:r>
        <w:t>licht verontreinigd/verhoogd (+):</w:t>
      </w:r>
    </w:p>
    <w:p w:rsidR="00057D67" w:rsidRDefault="00057D67" w:rsidP="00057D67">
      <w:pPr>
        <w:pStyle w:val="lijst-vervolg"/>
        <w:spacing w:line="240" w:lineRule="auto"/>
      </w:pPr>
      <w:r>
        <w:t>de concentratie aan verontreiniging is hoger dan de achtergrondwaarde/ streefwaarde maar l</w:t>
      </w:r>
      <w:r>
        <w:t>a</w:t>
      </w:r>
      <w:r>
        <w:t>ger dan of gelijk aan de tussenwaarde;</w:t>
      </w:r>
    </w:p>
    <w:p w:rsidR="00057D67" w:rsidRDefault="00057D67" w:rsidP="00057D67">
      <w:pPr>
        <w:pStyle w:val="lijst"/>
        <w:numPr>
          <w:ilvl w:val="0"/>
          <w:numId w:val="2"/>
        </w:numPr>
        <w:tabs>
          <w:tab w:val="num" w:pos="400"/>
        </w:tabs>
        <w:spacing w:line="240" w:lineRule="auto"/>
      </w:pPr>
      <w:r>
        <w:t>matig verontreinigd/verhoogd (++):</w:t>
      </w:r>
    </w:p>
    <w:p w:rsidR="00057D67" w:rsidRDefault="00057D67" w:rsidP="00057D67">
      <w:pPr>
        <w:pStyle w:val="lijst-vervolg"/>
        <w:spacing w:line="240" w:lineRule="auto"/>
      </w:pPr>
      <w:r>
        <w:t>de concentratie aan verontreiniging is hoger dan de tussenwaarde maar lager dan of gelijk aan de interventiewaarde;</w:t>
      </w:r>
    </w:p>
    <w:p w:rsidR="00057D67" w:rsidRDefault="00057D67" w:rsidP="00057D67">
      <w:pPr>
        <w:pStyle w:val="lijst"/>
        <w:numPr>
          <w:ilvl w:val="0"/>
          <w:numId w:val="2"/>
        </w:numPr>
        <w:tabs>
          <w:tab w:val="num" w:pos="400"/>
        </w:tabs>
        <w:spacing w:line="240" w:lineRule="auto"/>
      </w:pPr>
      <w:r>
        <w:t>sterk verontreinigd/verhoogd (+++):</w:t>
      </w:r>
    </w:p>
    <w:p w:rsidR="00057D67" w:rsidRDefault="00057D67" w:rsidP="00057D67">
      <w:pPr>
        <w:pStyle w:val="lijst-vervolg"/>
        <w:spacing w:line="240" w:lineRule="auto"/>
      </w:pPr>
      <w:r>
        <w:t>de concentratie aan verontreinigingen is hoger dan de interventiewaarde.</w:t>
      </w:r>
    </w:p>
    <w:p w:rsidR="00057D67" w:rsidRDefault="00057D67" w:rsidP="00057D67"/>
    <w:p w:rsidR="00057D67" w:rsidRPr="00876B18" w:rsidRDefault="00057D67" w:rsidP="00057D67">
      <w:r>
        <w:t>De achtergrond- en interventiewaarden voor de vaste bodem zijn gerelateerd aan het lutum- en/of organisch stofgehalte van de bodem. Bij de berekening van de achtergrond- en interventiewaarden van de vaste bodem is uitgegaan van gemeten lutum- en organisch stofgehaltes. De achtergrond- en interventiewaarden zijn opgenomen in bijlage 6. Hierbij wordt opgemerkt dat niet voor ieder gean</w:t>
      </w:r>
      <w:r>
        <w:t>a</w:t>
      </w:r>
      <w:r>
        <w:t>lyseerd grondmonster de gehaltes aan lutum en organisch stof hoeven te worden bepaald. Bij de toetsing is in dat geval gebruik gemaakt van de meest vergelijkbare gehaltes aan lutum en organisch stof ten opzichte van de bodemopbouw en de zintuiglijke waarnemingen ter plaatse.</w:t>
      </w:r>
    </w:p>
    <w:p w:rsidR="00057D67" w:rsidRDefault="00057D67" w:rsidP="00057D67">
      <w:pPr>
        <w:pStyle w:val="Kop2"/>
      </w:pPr>
      <w:bookmarkStart w:id="16" w:name="_Toc420504316"/>
      <w:bookmarkStart w:id="17" w:name="_Toc394317346"/>
      <w:bookmarkStart w:id="18" w:name="_Toc456249651"/>
      <w:r>
        <w:t>Waterbodemonderzoek</w:t>
      </w:r>
      <w:bookmarkEnd w:id="16"/>
      <w:bookmarkEnd w:id="18"/>
    </w:p>
    <w:p w:rsidR="00057D67" w:rsidRDefault="00057D67" w:rsidP="00057D67">
      <w:pPr>
        <w:autoSpaceDE w:val="0"/>
        <w:autoSpaceDN w:val="0"/>
        <w:adjustRightInd w:val="0"/>
        <w:rPr>
          <w:rFonts w:cs="Arial"/>
          <w:szCs w:val="17"/>
        </w:rPr>
      </w:pPr>
      <w:r>
        <w:rPr>
          <w:rFonts w:cs="Arial"/>
          <w:szCs w:val="17"/>
        </w:rPr>
        <w:t>Waterbodems zijn overgeheveld van de Wet bodembescherming naar de Waterwet [8], omdat het type verontreiniging van een waterbodem verschilt van die van de landbodem. Waterbodems zijn veelal diffuus verontreinigd en onderhevig aan zogenoemde ‘</w:t>
      </w:r>
      <w:proofErr w:type="spellStart"/>
      <w:r>
        <w:rPr>
          <w:rFonts w:cs="Arial"/>
          <w:szCs w:val="17"/>
        </w:rPr>
        <w:t>herverontreiniging</w:t>
      </w:r>
      <w:proofErr w:type="spellEnd"/>
      <w:r>
        <w:rPr>
          <w:rFonts w:cs="Arial"/>
          <w:szCs w:val="17"/>
        </w:rPr>
        <w:t>’. Daarnaast speelt ook een rol dat de drijvende kracht voor de aanpak van waterbodems veelal onderhoud en herinric</w:t>
      </w:r>
      <w:r>
        <w:rPr>
          <w:rFonts w:cs="Arial"/>
          <w:szCs w:val="17"/>
        </w:rPr>
        <w:t>h</w:t>
      </w:r>
      <w:r>
        <w:rPr>
          <w:rFonts w:cs="Arial"/>
          <w:szCs w:val="17"/>
        </w:rPr>
        <w:t>ting is en niet zozeer milieuhygiënisch herstel. Een derde argument is dat het saneren van de wate</w:t>
      </w:r>
      <w:r>
        <w:rPr>
          <w:rFonts w:cs="Arial"/>
          <w:szCs w:val="17"/>
        </w:rPr>
        <w:t>r</w:t>
      </w:r>
      <w:r>
        <w:rPr>
          <w:rFonts w:cs="Arial"/>
          <w:szCs w:val="17"/>
        </w:rPr>
        <w:t>bodem vrijwel altijd door de beheerder wordt uitgevoerd, terwijl landbodems veelal door derden worden gesaneerd.</w:t>
      </w:r>
    </w:p>
    <w:p w:rsidR="00057D67" w:rsidRDefault="00057D67" w:rsidP="00057D67"/>
    <w:p w:rsidR="00057D67" w:rsidRDefault="00057D67" w:rsidP="00057D67">
      <w:pPr>
        <w:rPr>
          <w:rFonts w:cs="Arial"/>
          <w:color w:val="000000"/>
          <w:szCs w:val="17"/>
        </w:rPr>
      </w:pPr>
      <w:r>
        <w:t>De kwaliteit van de waterbodem wordt bepaald aan de hand van de Regeling bodemkwaliteit [7] (</w:t>
      </w:r>
      <w:r>
        <w:rPr>
          <w:rFonts w:cs="Arial"/>
          <w:szCs w:val="17"/>
        </w:rPr>
        <w:t>Artikel 4.10.3)</w:t>
      </w:r>
      <w:r>
        <w:t xml:space="preserve">. </w:t>
      </w:r>
      <w:r>
        <w:rPr>
          <w:rFonts w:cs="Arial"/>
          <w:color w:val="000000"/>
          <w:szCs w:val="17"/>
        </w:rPr>
        <w:t xml:space="preserve">In het generieke kader is de waterbodemkwaliteit onderverdeeld in de klassen “AW2000”, </w:t>
      </w:r>
      <w:r>
        <w:rPr>
          <w:rFonts w:cs="Arial"/>
          <w:szCs w:val="17"/>
        </w:rPr>
        <w:t>“</w:t>
      </w:r>
      <w:r>
        <w:rPr>
          <w:color w:val="000000"/>
        </w:rPr>
        <w:t>klasse</w:t>
      </w:r>
      <w:r>
        <w:rPr>
          <w:rFonts w:cs="Arial"/>
          <w:color w:val="000000"/>
          <w:szCs w:val="17"/>
        </w:rPr>
        <w:t xml:space="preserve"> A”, “</w:t>
      </w:r>
      <w:r>
        <w:rPr>
          <w:color w:val="000000"/>
        </w:rPr>
        <w:t>klasse</w:t>
      </w:r>
      <w:r>
        <w:rPr>
          <w:rFonts w:cs="Arial"/>
          <w:color w:val="000000"/>
          <w:szCs w:val="17"/>
        </w:rPr>
        <w:t xml:space="preserve"> </w:t>
      </w:r>
      <w:r>
        <w:rPr>
          <w:color w:val="000000"/>
        </w:rPr>
        <w:t>B</w:t>
      </w:r>
      <w:r>
        <w:rPr>
          <w:rFonts w:cs="Arial"/>
          <w:color w:val="000000"/>
          <w:szCs w:val="17"/>
        </w:rPr>
        <w:t>” en “niet toepasbaar”. Deze klassenindeling vervan</w:t>
      </w:r>
      <w:r>
        <w:rPr>
          <w:rFonts w:cs="Arial"/>
          <w:szCs w:val="17"/>
        </w:rPr>
        <w:t>gt</w:t>
      </w:r>
      <w:r>
        <w:rPr>
          <w:rFonts w:cs="Arial"/>
          <w:color w:val="000000"/>
          <w:szCs w:val="17"/>
        </w:rPr>
        <w:t xml:space="preserve"> de klasseni</w:t>
      </w:r>
      <w:r>
        <w:rPr>
          <w:rFonts w:cs="Arial"/>
          <w:color w:val="000000"/>
          <w:szCs w:val="17"/>
        </w:rPr>
        <w:t>n</w:t>
      </w:r>
      <w:r>
        <w:rPr>
          <w:rFonts w:cs="Arial"/>
          <w:color w:val="000000"/>
          <w:szCs w:val="17"/>
        </w:rPr>
        <w:t>deling uit de Vierde Nota Waterhuishouding. In onderstaand figuur is de klassenindeling voor wate</w:t>
      </w:r>
      <w:r>
        <w:rPr>
          <w:rFonts w:cs="Arial"/>
          <w:color w:val="000000"/>
          <w:szCs w:val="17"/>
        </w:rPr>
        <w:t>r</w:t>
      </w:r>
      <w:r>
        <w:rPr>
          <w:rFonts w:cs="Arial"/>
          <w:color w:val="000000"/>
          <w:szCs w:val="17"/>
        </w:rPr>
        <w:t>bodems gegeven.</w:t>
      </w:r>
    </w:p>
    <w:p w:rsidR="00057D67" w:rsidRDefault="00057D67" w:rsidP="00057D67">
      <w:pPr>
        <w:spacing w:line="240" w:lineRule="auto"/>
        <w:rPr>
          <w:rFonts w:cs="Arial"/>
          <w:color w:val="000000"/>
          <w:szCs w:val="17"/>
        </w:rPr>
      </w:pPr>
    </w:p>
    <w:p w:rsidR="00057D67" w:rsidRDefault="00057D67" w:rsidP="00057D67">
      <w:pPr>
        <w:rPr>
          <w:rFonts w:cs="Arial"/>
          <w:color w:val="000000"/>
          <w:szCs w:val="17"/>
        </w:rPr>
      </w:pPr>
      <w:r w:rsidRPr="00FC4298">
        <w:rPr>
          <w:noProof/>
        </w:rPr>
        <w:pict>
          <v:group id="_x0000_s1026" style="position:absolute;left:0;text-align:left;margin-left:0;margin-top:.35pt;width:400pt;height:54pt;z-index:251660288" coordorigin="2552,2498" coordsize="8000,1080">
            <v:group id="_x0000_s1027" style="position:absolute;left:2552;top:2498;width:8000;height:540" coordorigin="2552,2498" coordsize="8000,540">
              <v:shapetype id="_x0000_t202" coordsize="21600,21600" o:spt="202" path="m,l,21600r21600,l21600,xe">
                <v:stroke joinstyle="miter"/>
                <v:path gradientshapeok="t" o:connecttype="rect"/>
              </v:shapetype>
              <v:shape id="_x0000_s1028" type="#_x0000_t202" style="position:absolute;left:2552;top:2498;width:2000;height:360" fillcolor="#36f" strokecolor="#36f">
                <v:textbox style="mso-next-textbox:#_x0000_s1028">
                  <w:txbxContent>
                    <w:p w:rsidR="00057D67" w:rsidRDefault="00057D67" w:rsidP="00057D67">
                      <w:pPr>
                        <w:rPr>
                          <w:color w:val="FFFFFF"/>
                        </w:rPr>
                      </w:pPr>
                      <w:r>
                        <w:rPr>
                          <w:color w:val="FFFFFF"/>
                        </w:rPr>
                        <w:t>vrij toepasbaar</w:t>
                      </w:r>
                    </w:p>
                  </w:txbxContent>
                </v:textbox>
              </v:shape>
              <v:shape id="_x0000_s1029" type="#_x0000_t202" style="position:absolute;left:4552;top:2498;width:2000;height:360" fillcolor="green" strokecolor="green">
                <v:textbox style="mso-next-textbox:#_x0000_s1029">
                  <w:txbxContent>
                    <w:p w:rsidR="00057D67" w:rsidRDefault="00057D67" w:rsidP="00057D67">
                      <w:pPr>
                        <w:rPr>
                          <w:color w:val="FFFFFF"/>
                        </w:rPr>
                      </w:pPr>
                      <w:r>
                        <w:rPr>
                          <w:color w:val="FFFFFF"/>
                        </w:rPr>
                        <w:t>klasse A</w:t>
                      </w:r>
                    </w:p>
                  </w:txbxContent>
                </v:textbox>
              </v:shape>
              <v:shape id="_x0000_s1030" type="#_x0000_t202" style="position:absolute;left:6552;top:2498;width:2000;height:360" fillcolor="#f60" strokecolor="#f60">
                <v:textbox style="mso-next-textbox:#_x0000_s1030">
                  <w:txbxContent>
                    <w:p w:rsidR="00057D67" w:rsidRDefault="00057D67" w:rsidP="00057D67">
                      <w:pPr>
                        <w:rPr>
                          <w:color w:val="FFFFFF"/>
                        </w:rPr>
                      </w:pPr>
                      <w:r>
                        <w:rPr>
                          <w:color w:val="FFFFFF"/>
                        </w:rPr>
                        <w:t>klasse B</w:t>
                      </w:r>
                    </w:p>
                  </w:txbxContent>
                </v:textbox>
              </v:shape>
              <v:shape id="_x0000_s1031" type="#_x0000_t202" style="position:absolute;left:8552;top:2498;width:2000;height:360" fillcolor="red" strokecolor="red">
                <v:textbox style="mso-next-textbox:#_x0000_s1031">
                  <w:txbxContent>
                    <w:p w:rsidR="00057D67" w:rsidRDefault="00057D67" w:rsidP="00057D67">
                      <w:pPr>
                        <w:rPr>
                          <w:color w:val="FFFFFF"/>
                        </w:rPr>
                      </w:pPr>
                      <w:r>
                        <w:rPr>
                          <w:color w:val="FFFFFF"/>
                        </w:rPr>
                        <w:t>niet toepasbaar</w:t>
                      </w:r>
                    </w:p>
                  </w:txbxContent>
                </v:textbox>
              </v:shape>
              <v:line id="_x0000_s1032" style="position:absolute" from="4552,2498" to="4552,3038"/>
              <v:line id="_x0000_s1033" style="position:absolute" from="6552,2498" to="6552,3038"/>
              <v:line id="_x0000_s1034" style="position:absolute" from="8552,2498" to="8552,3038"/>
            </v:group>
            <v:shape id="_x0000_s1035" type="#_x0000_t202" style="position:absolute;left:4052;top:3038;width:1300;height:360" stroked="f">
              <v:textbox style="mso-next-textbox:#_x0000_s1035">
                <w:txbxContent>
                  <w:p w:rsidR="00057D67" w:rsidRDefault="00057D67" w:rsidP="00057D67">
                    <w:pPr>
                      <w:rPr>
                        <w:sz w:val="18"/>
                      </w:rPr>
                    </w:pPr>
                    <w:r>
                      <w:rPr>
                        <w:sz w:val="18"/>
                      </w:rPr>
                      <w:t>AW2000</w:t>
                    </w:r>
                  </w:p>
                </w:txbxContent>
              </v:textbox>
            </v:shape>
            <v:shape id="_x0000_s1036" type="#_x0000_t202" style="position:absolute;left:5752;top:3038;width:1600;height:540" stroked="f">
              <v:textbox style="mso-next-textbox:#_x0000_s1036">
                <w:txbxContent>
                  <w:p w:rsidR="00057D67" w:rsidRDefault="00057D67" w:rsidP="00057D67">
                    <w:pPr>
                      <w:spacing w:line="240" w:lineRule="auto"/>
                      <w:rPr>
                        <w:sz w:val="18"/>
                      </w:rPr>
                    </w:pPr>
                    <w:r>
                      <w:rPr>
                        <w:sz w:val="18"/>
                      </w:rPr>
                      <w:t xml:space="preserve">HVN Rijntakken </w:t>
                    </w:r>
                  </w:p>
                  <w:p w:rsidR="00057D67" w:rsidRDefault="00057D67" w:rsidP="00057D67">
                    <w:pPr>
                      <w:spacing w:line="240" w:lineRule="auto"/>
                      <w:jc w:val="center"/>
                      <w:rPr>
                        <w:sz w:val="18"/>
                      </w:rPr>
                    </w:pPr>
                    <w:r>
                      <w:rPr>
                        <w:sz w:val="18"/>
                      </w:rPr>
                      <w:t>P95</w:t>
                    </w:r>
                  </w:p>
                </w:txbxContent>
              </v:textbox>
            </v:shape>
            <v:shape id="_x0000_s1037" type="#_x0000_t202" style="position:absolute;left:7652;top:3038;width:1800;height:540" stroked="f">
              <v:textbox style="mso-next-textbox:#_x0000_s1037">
                <w:txbxContent>
                  <w:p w:rsidR="00057D67" w:rsidRDefault="00057D67" w:rsidP="00057D67">
                    <w:pPr>
                      <w:spacing w:line="240" w:lineRule="auto"/>
                      <w:jc w:val="center"/>
                      <w:rPr>
                        <w:sz w:val="18"/>
                      </w:rPr>
                    </w:pPr>
                    <w:r>
                      <w:rPr>
                        <w:sz w:val="18"/>
                      </w:rPr>
                      <w:t>Interventiewaarde waterbodem</w:t>
                    </w:r>
                  </w:p>
                </w:txbxContent>
              </v:textbox>
            </v:shape>
          </v:group>
        </w:pict>
      </w:r>
    </w:p>
    <w:p w:rsidR="00057D67" w:rsidRDefault="00057D67" w:rsidP="00057D67">
      <w:pPr>
        <w:rPr>
          <w:rFonts w:cs="Arial"/>
          <w:color w:val="000000"/>
          <w:szCs w:val="17"/>
        </w:rPr>
      </w:pPr>
    </w:p>
    <w:p w:rsidR="00057D67" w:rsidRDefault="00057D67" w:rsidP="00057D67">
      <w:pPr>
        <w:rPr>
          <w:rFonts w:cs="Arial"/>
          <w:color w:val="000000"/>
          <w:szCs w:val="17"/>
        </w:rPr>
      </w:pPr>
    </w:p>
    <w:p w:rsidR="00057D67" w:rsidRDefault="00057D67" w:rsidP="00057D67">
      <w:pPr>
        <w:autoSpaceDE w:val="0"/>
        <w:autoSpaceDN w:val="0"/>
        <w:adjustRightInd w:val="0"/>
        <w:spacing w:line="240" w:lineRule="auto"/>
        <w:rPr>
          <w:rFonts w:cs="Arial"/>
          <w:color w:val="000000"/>
          <w:szCs w:val="17"/>
        </w:rPr>
      </w:pPr>
    </w:p>
    <w:p w:rsidR="00057D67" w:rsidRDefault="00057D67" w:rsidP="00057D67">
      <w:pPr>
        <w:autoSpaceDE w:val="0"/>
        <w:autoSpaceDN w:val="0"/>
        <w:adjustRightInd w:val="0"/>
        <w:rPr>
          <w:rFonts w:cs="Arial"/>
          <w:szCs w:val="17"/>
        </w:rPr>
      </w:pPr>
      <w:r>
        <w:rPr>
          <w:rFonts w:cs="Arial"/>
          <w:szCs w:val="17"/>
        </w:rPr>
        <w:t xml:space="preserve">De Maximale waarden voor de </w:t>
      </w:r>
      <w:r>
        <w:t>klasse</w:t>
      </w:r>
      <w:r>
        <w:rPr>
          <w:rFonts w:cs="Arial"/>
          <w:szCs w:val="17"/>
        </w:rPr>
        <w:t xml:space="preserve"> A en de Maximale waarden voor de </w:t>
      </w:r>
      <w:r>
        <w:t>klasse</w:t>
      </w:r>
      <w:r>
        <w:rPr>
          <w:rFonts w:cs="Arial"/>
          <w:szCs w:val="17"/>
        </w:rPr>
        <w:t xml:space="preserve"> </w:t>
      </w:r>
      <w:r>
        <w:t>B</w:t>
      </w:r>
      <w:r>
        <w:rPr>
          <w:rFonts w:cs="Arial"/>
          <w:szCs w:val="17"/>
        </w:rPr>
        <w:t xml:space="preserve"> geven de bove</w:t>
      </w:r>
      <w:r>
        <w:rPr>
          <w:rFonts w:cs="Arial"/>
          <w:szCs w:val="17"/>
        </w:rPr>
        <w:t>n</w:t>
      </w:r>
      <w:r>
        <w:rPr>
          <w:rFonts w:cs="Arial"/>
          <w:szCs w:val="17"/>
        </w:rPr>
        <w:t xml:space="preserve">grens aan van de kwaliteit. Wanneer de maximale waarde voor </w:t>
      </w:r>
      <w:r>
        <w:t>B</w:t>
      </w:r>
      <w:r>
        <w:rPr>
          <w:rFonts w:cs="Arial"/>
          <w:szCs w:val="17"/>
        </w:rPr>
        <w:t xml:space="preserve"> wordt overschreden, mag deze partij baggerspecie binnen het generieke kader niet worden toegepast. De bovengrens voor </w:t>
      </w:r>
      <w:r>
        <w:t>klasse</w:t>
      </w:r>
      <w:r>
        <w:rPr>
          <w:rFonts w:cs="Arial"/>
          <w:szCs w:val="17"/>
        </w:rPr>
        <w:t xml:space="preserve"> </w:t>
      </w:r>
      <w:r>
        <w:t>B</w:t>
      </w:r>
      <w:r>
        <w:rPr>
          <w:rFonts w:cs="Arial"/>
          <w:szCs w:val="17"/>
        </w:rPr>
        <w:t xml:space="preserve"> is tevens de interventiewaarden voor waterbodems.</w:t>
      </w:r>
    </w:p>
    <w:p w:rsidR="00057D67" w:rsidRDefault="00057D67" w:rsidP="00057D67">
      <w:pPr>
        <w:autoSpaceDE w:val="0"/>
        <w:autoSpaceDN w:val="0"/>
        <w:adjustRightInd w:val="0"/>
        <w:rPr>
          <w:rFonts w:cs="Arial"/>
          <w:szCs w:val="17"/>
        </w:rPr>
      </w:pPr>
      <w:r>
        <w:rPr>
          <w:rFonts w:cs="Arial"/>
          <w:szCs w:val="17"/>
        </w:rPr>
        <w:br/>
        <w:t xml:space="preserve">Bij het toepassen van grond en baggerspecie wordt alleen getoetst aan de actuele kwaliteit van de ontvangende </w:t>
      </w:r>
      <w:r>
        <w:t>waterbodem</w:t>
      </w:r>
      <w:r>
        <w:rPr>
          <w:rFonts w:cs="Arial"/>
          <w:szCs w:val="17"/>
        </w:rPr>
        <w:t xml:space="preserve">. Hier is het uitgangspunt dat de kwaliteit van de ontvangende </w:t>
      </w:r>
      <w:proofErr w:type="spellStart"/>
      <w:r>
        <w:rPr>
          <w:rFonts w:cs="Arial"/>
          <w:szCs w:val="17"/>
        </w:rPr>
        <w:t>w</w:t>
      </w:r>
      <w:r>
        <w:t>ater-bodem</w:t>
      </w:r>
      <w:proofErr w:type="spellEnd"/>
      <w:r>
        <w:rPr>
          <w:rFonts w:cs="Arial"/>
          <w:szCs w:val="17"/>
        </w:rPr>
        <w:t xml:space="preserve"> niet verslechtert. Een partij grond of baggerspecie kan als waterbodem worden hergebruikt wanneer de kwaliteitsklasse van de toe te passen grond of baggerspecie gelijk aan of schoner is dan de kwaliteit van de ontvangende bodem.</w:t>
      </w:r>
    </w:p>
    <w:p w:rsidR="00057D67" w:rsidRDefault="00057D67" w:rsidP="00057D67">
      <w:pPr>
        <w:autoSpaceDE w:val="0"/>
        <w:autoSpaceDN w:val="0"/>
        <w:adjustRightInd w:val="0"/>
        <w:spacing w:line="240" w:lineRule="auto"/>
        <w:rPr>
          <w:rFonts w:cs="Arial"/>
          <w:szCs w:val="17"/>
        </w:rPr>
      </w:pPr>
    </w:p>
    <w:p w:rsidR="00057D67" w:rsidRDefault="00057D67" w:rsidP="00057D67">
      <w:pPr>
        <w:autoSpaceDE w:val="0"/>
        <w:autoSpaceDN w:val="0"/>
        <w:adjustRightInd w:val="0"/>
        <w:rPr>
          <w:rFonts w:cs="Arial"/>
          <w:szCs w:val="17"/>
        </w:rPr>
      </w:pPr>
      <w:r>
        <w:rPr>
          <w:rFonts w:cs="Arial"/>
          <w:szCs w:val="17"/>
        </w:rPr>
        <w:t>Bij de toetsing van de analyseresultaten worden de gemeten gehaltes van de geanalyseerde param</w:t>
      </w:r>
      <w:r>
        <w:rPr>
          <w:rFonts w:cs="Arial"/>
          <w:szCs w:val="17"/>
        </w:rPr>
        <w:t>e</w:t>
      </w:r>
      <w:r>
        <w:rPr>
          <w:rFonts w:cs="Arial"/>
          <w:szCs w:val="17"/>
        </w:rPr>
        <w:t>ters gecorrigeerd naar standaard bodem (10% organisch stof en 25% lutum). In de toetsingstabellen van bijlage 6 zijn in de eerste cijferkolom de gemeten waarden weergegeven en in de tweede de gecorrigeerde waarden. Voor de kwaliteit van de toe te passen materialen wordt verwezen naar de verruimde toetsing uit artikel 4.2.2 lid 4 van de Regeling bodemkwaliteit. Voor de kwaliteit van de ontvangende bodem wordt verwezen naar artikel 4.10.3 RBK.</w:t>
      </w:r>
    </w:p>
    <w:p w:rsidR="00057D67" w:rsidRDefault="00057D67" w:rsidP="00057D67">
      <w:pPr>
        <w:autoSpaceDE w:val="0"/>
        <w:autoSpaceDN w:val="0"/>
        <w:adjustRightInd w:val="0"/>
      </w:pPr>
      <w:r>
        <w:rPr>
          <w:noProof/>
        </w:rPr>
        <w:pict>
          <v:line id="_x0000_s1038" style="position:absolute;left:0;text-align:left;z-index:251661312" from="40pt,12.2pt" to="375pt,12.2pt"/>
        </w:pict>
      </w:r>
    </w:p>
    <w:p w:rsidR="00057D67" w:rsidRDefault="00057D67" w:rsidP="00057D67">
      <w:pPr>
        <w:autoSpaceDE w:val="0"/>
        <w:autoSpaceDN w:val="0"/>
        <w:adjustRightInd w:val="0"/>
        <w:spacing w:line="240" w:lineRule="auto"/>
        <w:rPr>
          <w:rFonts w:cs="Arial"/>
          <w:b/>
          <w:bCs/>
          <w:i/>
          <w:iCs/>
          <w:sz w:val="18"/>
          <w:szCs w:val="17"/>
        </w:rPr>
      </w:pPr>
      <w:r>
        <w:rPr>
          <w:rFonts w:cs="Arial"/>
          <w:b/>
          <w:bCs/>
          <w:i/>
          <w:iCs/>
          <w:sz w:val="18"/>
          <w:szCs w:val="17"/>
        </w:rPr>
        <w:t xml:space="preserve">Regeling bodemkwaliteit </w:t>
      </w:r>
    </w:p>
    <w:p w:rsidR="00057D67" w:rsidRDefault="00057D67" w:rsidP="00057D67">
      <w:pPr>
        <w:autoSpaceDE w:val="0"/>
        <w:autoSpaceDN w:val="0"/>
        <w:adjustRightInd w:val="0"/>
        <w:spacing w:line="240" w:lineRule="auto"/>
        <w:rPr>
          <w:rFonts w:cs="Arial"/>
          <w:i/>
          <w:iCs/>
          <w:sz w:val="18"/>
          <w:szCs w:val="17"/>
        </w:rPr>
      </w:pPr>
      <w:r>
        <w:rPr>
          <w:rFonts w:cs="Arial"/>
          <w:i/>
          <w:iCs/>
          <w:sz w:val="18"/>
          <w:szCs w:val="17"/>
        </w:rPr>
        <w:t>Artikel 4.10.3. Vaststellen kwaliteitsklassen van de bodem of oever van een oppervlaktewaterlichaam</w:t>
      </w:r>
    </w:p>
    <w:p w:rsidR="00057D67" w:rsidRDefault="00057D67" w:rsidP="00057D67">
      <w:pPr>
        <w:autoSpaceDE w:val="0"/>
        <w:autoSpaceDN w:val="0"/>
        <w:adjustRightInd w:val="0"/>
        <w:spacing w:line="240" w:lineRule="auto"/>
        <w:rPr>
          <w:rFonts w:cs="Arial"/>
          <w:i/>
          <w:iCs/>
          <w:sz w:val="18"/>
          <w:szCs w:val="17"/>
        </w:rPr>
      </w:pPr>
      <w:r>
        <w:rPr>
          <w:rFonts w:cs="Arial"/>
          <w:i/>
          <w:iCs/>
          <w:sz w:val="18"/>
          <w:szCs w:val="17"/>
        </w:rPr>
        <w:t xml:space="preserve">o   1. Voor het vaststellen van de kwaliteitsklasse van de bodem of oever van een oppervlaktewaterlichaam wordt een correctie op de gemeten gehalten lutum en organisch stof uitgevoerd volgens de rekenregels in </w:t>
      </w:r>
      <w:hyperlink r:id="rId5" w:history="1">
        <w:r>
          <w:rPr>
            <w:rFonts w:cs="Arial"/>
            <w:i/>
            <w:iCs/>
            <w:sz w:val="18"/>
            <w:szCs w:val="17"/>
          </w:rPr>
          <w:t>o</w:t>
        </w:r>
        <w:r>
          <w:rPr>
            <w:rFonts w:cs="Arial"/>
            <w:i/>
            <w:iCs/>
            <w:sz w:val="18"/>
            <w:szCs w:val="17"/>
          </w:rPr>
          <w:t>n</w:t>
        </w:r>
        <w:r>
          <w:rPr>
            <w:rFonts w:cs="Arial"/>
            <w:i/>
            <w:iCs/>
            <w:sz w:val="18"/>
            <w:szCs w:val="17"/>
          </w:rPr>
          <w:t>derdeel III van bijlage G</w:t>
        </w:r>
      </w:hyperlink>
      <w:r>
        <w:rPr>
          <w:rFonts w:cs="Arial"/>
          <w:i/>
          <w:iCs/>
          <w:sz w:val="18"/>
          <w:szCs w:val="17"/>
        </w:rPr>
        <w:t>.</w:t>
      </w:r>
    </w:p>
    <w:p w:rsidR="00057D67" w:rsidRDefault="00057D67" w:rsidP="00057D67">
      <w:pPr>
        <w:autoSpaceDE w:val="0"/>
        <w:autoSpaceDN w:val="0"/>
        <w:adjustRightInd w:val="0"/>
        <w:spacing w:line="240" w:lineRule="auto"/>
        <w:rPr>
          <w:rFonts w:cs="Arial"/>
          <w:i/>
          <w:iCs/>
          <w:sz w:val="18"/>
          <w:szCs w:val="17"/>
        </w:rPr>
      </w:pPr>
      <w:r>
        <w:rPr>
          <w:rFonts w:cs="Arial"/>
          <w:i/>
          <w:iCs/>
          <w:sz w:val="18"/>
          <w:szCs w:val="17"/>
        </w:rPr>
        <w:t xml:space="preserve">o   2. De bodem of oever van een oppervlaktewaterlichaam wordt uitgedrukt in kwaliteitsklasse A, indien de rekenkundige gemiddelden van de gehalten van de gemeten stoffen in de bodem of in de </w:t>
      </w:r>
      <w:proofErr w:type="spellStart"/>
      <w:r>
        <w:rPr>
          <w:rFonts w:cs="Arial"/>
          <w:i/>
          <w:iCs/>
          <w:sz w:val="18"/>
          <w:szCs w:val="17"/>
        </w:rPr>
        <w:t>bodemkwaliteitszone</w:t>
      </w:r>
      <w:proofErr w:type="spellEnd"/>
      <w:r>
        <w:rPr>
          <w:rFonts w:cs="Arial"/>
          <w:i/>
          <w:iCs/>
          <w:sz w:val="18"/>
          <w:szCs w:val="17"/>
        </w:rPr>
        <w:t xml:space="preserve"> de achtergrondwaarden overschrijden, maar niet de maximale waarden voor kwaliteitsklasse A. Om te bepalen of er sprake is van een overschrijding van de achtergrondwaarden is </w:t>
      </w:r>
      <w:hyperlink r:id="rId6" w:history="1">
        <w:r>
          <w:rPr>
            <w:rFonts w:cs="Arial"/>
            <w:i/>
            <w:iCs/>
            <w:sz w:val="18"/>
            <w:szCs w:val="17"/>
          </w:rPr>
          <w:t>artikel 4.2.2, vierde, vijfde en achtste lid</w:t>
        </w:r>
      </w:hyperlink>
      <w:r>
        <w:rPr>
          <w:rFonts w:cs="Arial"/>
          <w:i/>
          <w:iCs/>
          <w:sz w:val="18"/>
          <w:szCs w:val="17"/>
        </w:rPr>
        <w:t>, van overeenkomstige toepassing.</w:t>
      </w:r>
    </w:p>
    <w:p w:rsidR="00057D67" w:rsidRDefault="00057D67" w:rsidP="00057D67">
      <w:pPr>
        <w:autoSpaceDE w:val="0"/>
        <w:autoSpaceDN w:val="0"/>
        <w:adjustRightInd w:val="0"/>
        <w:spacing w:line="240" w:lineRule="auto"/>
        <w:rPr>
          <w:i/>
          <w:iCs/>
        </w:rPr>
      </w:pPr>
      <w:r>
        <w:rPr>
          <w:rFonts w:cs="Arial"/>
          <w:i/>
          <w:iCs/>
          <w:sz w:val="18"/>
          <w:szCs w:val="17"/>
        </w:rPr>
        <w:t xml:space="preserve">o   3. De bodem of oever van een oppervlaktewaterlichaam wordt uitgedrukt in kwaliteitsklasse B, indien de rekenkundige gemiddelden van de gehalten van de gemeten stoffen in de bodem of in de </w:t>
      </w:r>
      <w:proofErr w:type="spellStart"/>
      <w:r>
        <w:rPr>
          <w:rFonts w:cs="Arial"/>
          <w:i/>
          <w:iCs/>
          <w:sz w:val="18"/>
          <w:szCs w:val="17"/>
        </w:rPr>
        <w:t>bodemkwaliteitszone</w:t>
      </w:r>
      <w:proofErr w:type="spellEnd"/>
      <w:r>
        <w:rPr>
          <w:rFonts w:cs="Arial"/>
          <w:i/>
          <w:iCs/>
          <w:sz w:val="18"/>
          <w:szCs w:val="17"/>
        </w:rPr>
        <w:t xml:space="preserve"> de maximale waarden voor kwaliteitsklasse A overschrijden, maar niet de maximale waarden voor kwaliteit</w:t>
      </w:r>
      <w:r>
        <w:rPr>
          <w:rFonts w:cs="Arial"/>
          <w:i/>
          <w:iCs/>
          <w:sz w:val="18"/>
          <w:szCs w:val="17"/>
        </w:rPr>
        <w:t>s</w:t>
      </w:r>
      <w:r>
        <w:rPr>
          <w:rFonts w:cs="Arial"/>
          <w:i/>
          <w:iCs/>
          <w:sz w:val="18"/>
          <w:szCs w:val="17"/>
        </w:rPr>
        <w:t>klasse B.</w:t>
      </w:r>
    </w:p>
    <w:p w:rsidR="00057D67" w:rsidRDefault="00057D67" w:rsidP="00057D67">
      <w:pPr>
        <w:pStyle w:val="Kop2"/>
      </w:pPr>
      <w:r>
        <w:br w:type="page"/>
      </w:r>
      <w:bookmarkStart w:id="19" w:name="_Toc412723064"/>
      <w:bookmarkStart w:id="20" w:name="_Toc456249652"/>
      <w:r>
        <w:lastRenderedPageBreak/>
        <w:t>Asbest</w:t>
      </w:r>
      <w:bookmarkEnd w:id="17"/>
      <w:bookmarkEnd w:id="19"/>
      <w:bookmarkEnd w:id="20"/>
      <w:r>
        <w:t xml:space="preserve"> </w:t>
      </w:r>
    </w:p>
    <w:p w:rsidR="00057D67" w:rsidRDefault="00057D67" w:rsidP="00057D67"/>
    <w:p w:rsidR="00057D67" w:rsidRPr="00FD0C7C" w:rsidRDefault="00057D67" w:rsidP="00057D67">
      <w:pPr>
        <w:rPr>
          <w:b/>
        </w:rPr>
      </w:pPr>
      <w:r>
        <w:rPr>
          <w:b/>
        </w:rPr>
        <w:t xml:space="preserve">Asbest </w:t>
      </w:r>
      <w:r w:rsidRPr="00FD0C7C">
        <w:rPr>
          <w:b/>
        </w:rPr>
        <w:t>in bodem</w:t>
      </w:r>
    </w:p>
    <w:p w:rsidR="00057D67" w:rsidRDefault="00057D67" w:rsidP="00057D67">
      <w:r>
        <w:t>In de eerste stap wordt op basis van het verkennend onderzoek vastgesteld of er sprake is van een verdachte locatie en of de bodem asbestverdacht materiaal bevat. Indien dit wordt bevestigd, on</w:t>
      </w:r>
      <w:r>
        <w:t>t</w:t>
      </w:r>
      <w:r>
        <w:t>staat hierdoor direct aanleiding tot het uitvoeren van een nader bodemonderzoek om vast te stellen of sprake is van een geval van ernstige verontreiniging. Er is sprake van een geval van ernstige verontreiniging met asbest in de bodem indien de gemiddelde concentratie binnen een ruimtelijke ee</w:t>
      </w:r>
      <w:r>
        <w:t>n</w:t>
      </w:r>
      <w:r>
        <w:t xml:space="preserve">heid hoger is dan de interventiewaarde van 100 mg/kg </w:t>
      </w:r>
      <w:proofErr w:type="spellStart"/>
      <w:r>
        <w:t>d.s</w:t>
      </w:r>
      <w:proofErr w:type="spellEnd"/>
      <w:r>
        <w:t>. (gewogen). Het vaststellen van de gemi</w:t>
      </w:r>
      <w:r>
        <w:t>d</w:t>
      </w:r>
      <w:r>
        <w:t>delde gewogen asbestconcentratie is vastgesteld aan de hand van de NEN 5707 of NTA 5727. Opg</w:t>
      </w:r>
      <w:r>
        <w:t>e</w:t>
      </w:r>
      <w:r>
        <w:t>merkt wordt dat het volumecriterium voor een bodemverontreiniging met asbest niet van toepassing is bij het vaststellen van de ernst. Elke sterk met asbest verontreinigde bodem dient beschouwd te worden als een geval van ernstige bodemverontreiniging.</w:t>
      </w:r>
    </w:p>
    <w:p w:rsidR="00057D67" w:rsidRDefault="00057D67" w:rsidP="00057D67">
      <w:pPr>
        <w:spacing w:line="240" w:lineRule="auto"/>
      </w:pPr>
    </w:p>
    <w:p w:rsidR="00057D67" w:rsidRDefault="00057D67" w:rsidP="00057D67">
      <w:r>
        <w:t>Op basis van het Milieuhygiënische saneringscriterium bodem, protocol asbest dat alleen van to</w:t>
      </w:r>
      <w:r>
        <w:t>e</w:t>
      </w:r>
      <w:r>
        <w:t xml:space="preserve">passing is indien er sprake is van een bodemverontreiniging met asbest in (water)bodem, grond en baggerspecie, waarbij asbest aanwezig is in een gehalte boven de interventiewaarde van 100 mg/kg </w:t>
      </w:r>
      <w:proofErr w:type="spellStart"/>
      <w:r>
        <w:t>d.s</w:t>
      </w:r>
      <w:proofErr w:type="spellEnd"/>
      <w:r>
        <w:t>. (gewogen), worden de locatiespecifieke risico’s ingedeeld in twee categorieën: “</w:t>
      </w:r>
      <w:proofErr w:type="spellStart"/>
      <w:r>
        <w:t>géén</w:t>
      </w:r>
      <w:proofErr w:type="spellEnd"/>
      <w:r>
        <w:t xml:space="preserve"> onaa</w:t>
      </w:r>
      <w:r>
        <w:t>n</w:t>
      </w:r>
      <w:r>
        <w:t>vaardbare risico’s” en “onaanvaardbare risico’s”. De locatie valt in de categorie “</w:t>
      </w:r>
      <w:proofErr w:type="spellStart"/>
      <w:r>
        <w:t>géén</w:t>
      </w:r>
      <w:proofErr w:type="spellEnd"/>
      <w:r>
        <w:t xml:space="preserve"> onaanvaardb</w:t>
      </w:r>
      <w:r>
        <w:t>a</w:t>
      </w:r>
      <w:r>
        <w:t>re risico’s” als er geen kans op vezelemissie is. Dit komt voor in situaties waarbij het bij het actuele gebruik niet mogelijk is om met de asbestbodemverontreiniging in contact te komen of als blijkt dat in dergelijke situaties nooit gehalten aan asbest in de lucht zullen voorkomen die het Verwaarloo</w:t>
      </w:r>
      <w:r>
        <w:t>s</w:t>
      </w:r>
      <w:r>
        <w:t>baar Risiconiveau (VR) overschrijden. Dit betekent dat dan een beperkingenregistratie moet plaat</w:t>
      </w:r>
      <w:r>
        <w:t>s</w:t>
      </w:r>
      <w:r>
        <w:t xml:space="preserve">vinden. Het bevoegd gezag kan naast registratie aanvullend beheermaatregelen voorschrijven. De inhoud van de beheermaatregelen wordt door het bevoegd gezag bepaald. Als de inrichting of het gebruik van de locatie verandert, dienen de locatiespecifieke risico’s opnieuw te worden beoordeeld. </w:t>
      </w:r>
    </w:p>
    <w:p w:rsidR="00057D67" w:rsidRDefault="00057D67" w:rsidP="00057D67">
      <w:pPr>
        <w:spacing w:line="240" w:lineRule="auto"/>
      </w:pPr>
    </w:p>
    <w:p w:rsidR="00057D67" w:rsidRDefault="00057D67" w:rsidP="00057D67">
      <w:r>
        <w:t xml:space="preserve">De concentratie aan asbest in (water)bodem, grond of baggerspecie is bekend uit het uitgevoerde verkennend en/of nader onderzoek. De analyses moeten worden uitgevoerd conform de NEN 5707. Conform deze norm dient in de rapportage van de uitgevoerde analyses naast het onderscheid in </w:t>
      </w:r>
      <w:proofErr w:type="spellStart"/>
      <w:r>
        <w:t>amfibool</w:t>
      </w:r>
      <w:proofErr w:type="spellEnd"/>
      <w:r>
        <w:t xml:space="preserve"> en </w:t>
      </w:r>
      <w:proofErr w:type="spellStart"/>
      <w:r>
        <w:t>serpentijn</w:t>
      </w:r>
      <w:proofErr w:type="spellEnd"/>
      <w:r>
        <w:t xml:space="preserve"> asbest ook onderscheid te worden gemaakt in hechtgebonden en </w:t>
      </w:r>
      <w:proofErr w:type="spellStart"/>
      <w:r>
        <w:t>niet-hechtgebonden</w:t>
      </w:r>
      <w:proofErr w:type="spellEnd"/>
      <w:r>
        <w:t xml:space="preserve"> asbest. Dit laatstgenoemde onderscheid wordt gemaakt door het aangetroffen materiaal te vergelijken met referentiematerialen met bekende hechtgebondenheid. Uit praktijkmeti</w:t>
      </w:r>
      <w:r>
        <w:t>n</w:t>
      </w:r>
      <w:r>
        <w:t xml:space="preserve">gen is bekend dat er in het geval van een bodemverontreiniging met alleen hechtgebonden asbest in gehalten lager dan 1.000 mg/kg </w:t>
      </w:r>
      <w:proofErr w:type="spellStart"/>
      <w:r>
        <w:t>d.s</w:t>
      </w:r>
      <w:proofErr w:type="spellEnd"/>
      <w:r>
        <w:t xml:space="preserve">. (gewogen), geen asbest in de lucht </w:t>
      </w:r>
      <w:r>
        <w:lastRenderedPageBreak/>
        <w:t xml:space="preserve">wordt aangetroffen boven de bepalingsondergrens. Om deze reden is het niet nodig verdere metingen te verrichten indien het gehalte aan hechtgeboden asbest minder dan 1.000 mg/kg </w:t>
      </w:r>
      <w:proofErr w:type="spellStart"/>
      <w:r>
        <w:t>d.s</w:t>
      </w:r>
      <w:proofErr w:type="spellEnd"/>
      <w:r>
        <w:t xml:space="preserve">. (gewogen) bedraagt. </w:t>
      </w:r>
    </w:p>
    <w:p w:rsidR="00057D67" w:rsidRDefault="00057D67" w:rsidP="00057D67"/>
    <w:p w:rsidR="00057D67" w:rsidRDefault="00057D67" w:rsidP="00057D67">
      <w:r>
        <w:t>Er dienen spoedig saneringsmaatregelen te worden getroffen op dat deel van de locatie waar sprake is van onaanvaardbare risico’s ten gevolge van de aanwezigheid van de bodemverontreiniging met asbest. Met “spoedig” wordt in dit kader bedoeld dat de sanering binnen 4 jaar na het afgeven van de beschikking ernst en spoed moet aanvangen. De consequenties van de risicobeoordeling conform het onderhavige "protocol asbest" worden door het bevoegd gezag vastgelegd in een beschikking “ernst en spoed”. In paragraaf 5.2 van de Circulaire bodemsanering 2009, zijn aandachtspunten voor de inhoud van een dergelijke beschikking opgenomen.</w:t>
      </w:r>
    </w:p>
    <w:p w:rsidR="00057D67" w:rsidRDefault="00057D67" w:rsidP="00057D67"/>
    <w:p w:rsidR="00057D67" w:rsidRDefault="00057D67" w:rsidP="00057D67">
      <w:pPr>
        <w:rPr>
          <w:b/>
        </w:rPr>
      </w:pPr>
      <w:r w:rsidRPr="00FD0C7C">
        <w:rPr>
          <w:b/>
        </w:rPr>
        <w:t>Asbest in puin</w:t>
      </w:r>
    </w:p>
    <w:p w:rsidR="00057D67" w:rsidRDefault="00057D67" w:rsidP="00057D67">
      <w:r>
        <w:t xml:space="preserve">Voor asbest in puin geldt een maximale samenstellingswaarde van 100 mg/kg </w:t>
      </w:r>
      <w:proofErr w:type="spellStart"/>
      <w:r>
        <w:t>d.s</w:t>
      </w:r>
      <w:proofErr w:type="spellEnd"/>
      <w:r>
        <w:t>. (Regeling bode</w:t>
      </w:r>
      <w:r>
        <w:t>m</w:t>
      </w:r>
      <w:r>
        <w:t xml:space="preserve">kwaliteit, 13 december 2007). Het betreft een gewogen norm (concentratie </w:t>
      </w:r>
      <w:proofErr w:type="spellStart"/>
      <w:r>
        <w:t>serpentijn</w:t>
      </w:r>
      <w:proofErr w:type="spellEnd"/>
      <w:r>
        <w:t xml:space="preserve"> asbest + 10 x concentratie </w:t>
      </w:r>
      <w:proofErr w:type="spellStart"/>
      <w:r>
        <w:t>amfibool</w:t>
      </w:r>
      <w:proofErr w:type="spellEnd"/>
      <w:r>
        <w:t xml:space="preserve"> asbest). Het betreft hierbij puin waaraan niet opzettelijk asbest is toegevoegd, anders geldt een norm van 0 mg/kg </w:t>
      </w:r>
      <w:proofErr w:type="spellStart"/>
      <w:r>
        <w:t>d.s</w:t>
      </w:r>
      <w:proofErr w:type="spellEnd"/>
      <w:r>
        <w:t xml:space="preserve">.  </w:t>
      </w:r>
    </w:p>
    <w:p w:rsidR="00057D67" w:rsidRDefault="00057D67" w:rsidP="00057D67"/>
    <w:p w:rsidR="00057D67" w:rsidRPr="00347050" w:rsidRDefault="00057D67" w:rsidP="00057D67">
      <w:pPr>
        <w:rPr>
          <w:b/>
        </w:rPr>
      </w:pPr>
      <w:r w:rsidRPr="00347050">
        <w:rPr>
          <w:b/>
        </w:rPr>
        <w:t>Berekening asbestconcentratie</w:t>
      </w:r>
    </w:p>
    <w:p w:rsidR="00057D67" w:rsidRPr="00347050" w:rsidRDefault="00057D67" w:rsidP="00057D67">
      <w:r w:rsidRPr="00347050">
        <w:t>Op basis van de bij de inspectie verzamelde materialen en de analyses van de verzamelmonsters kan aan de hand van de volgende formule uit de NEN 5707</w:t>
      </w:r>
      <w:r>
        <w:t>/5897</w:t>
      </w:r>
      <w:r w:rsidRPr="00347050">
        <w:t xml:space="preserve"> de asbestconcentratie per inspectiepunt worden bepaald. </w:t>
      </w:r>
    </w:p>
    <w:p w:rsidR="00057D67" w:rsidRPr="00347050" w:rsidRDefault="00057D67" w:rsidP="00057D67">
      <w:pPr>
        <w:jc w:val="center"/>
        <w:rPr>
          <w:b/>
          <w:bCs/>
          <w:lang w:val="en-GB"/>
        </w:rPr>
      </w:pPr>
      <w:proofErr w:type="spellStart"/>
      <w:r w:rsidRPr="00347050">
        <w:rPr>
          <w:b/>
          <w:bCs/>
          <w:lang w:val="en-GB"/>
        </w:rPr>
        <w:t>C</w:t>
      </w:r>
      <w:r w:rsidRPr="00347050">
        <w:rPr>
          <w:b/>
          <w:bCs/>
          <w:vertAlign w:val="subscript"/>
          <w:lang w:val="en-GB"/>
        </w:rPr>
        <w:t>gr</w:t>
      </w:r>
      <w:proofErr w:type="spellEnd"/>
      <w:r w:rsidRPr="00347050">
        <w:rPr>
          <w:b/>
          <w:bCs/>
          <w:lang w:val="en-GB"/>
        </w:rPr>
        <w:t xml:space="preserve">= M x % </w:t>
      </w:r>
      <w:r w:rsidRPr="00347050">
        <w:rPr>
          <w:b/>
          <w:bCs/>
          <w:i/>
          <w:iCs/>
          <w:lang w:val="en-GB"/>
        </w:rPr>
        <w:t>I</w:t>
      </w:r>
      <w:r w:rsidRPr="00347050">
        <w:rPr>
          <w:b/>
          <w:bCs/>
          <w:lang w:val="en-GB"/>
        </w:rPr>
        <w:t xml:space="preserve"> (V x n x E (x </w:t>
      </w:r>
      <w:proofErr w:type="spellStart"/>
      <w:r w:rsidRPr="00347050">
        <w:rPr>
          <w:b/>
          <w:bCs/>
          <w:lang w:val="en-GB"/>
        </w:rPr>
        <w:t>ds</w:t>
      </w:r>
      <w:proofErr w:type="spellEnd"/>
      <w:r w:rsidRPr="00347050">
        <w:rPr>
          <w:b/>
          <w:bCs/>
          <w:lang w:val="en-GB"/>
        </w:rPr>
        <w:t>))</w:t>
      </w:r>
    </w:p>
    <w:p w:rsidR="00057D67" w:rsidRPr="00347050" w:rsidRDefault="00057D67" w:rsidP="00057D67">
      <w:pPr>
        <w:jc w:val="center"/>
        <w:rPr>
          <w:b/>
          <w:bCs/>
          <w:lang w:val="en-GB"/>
        </w:rPr>
      </w:pPr>
    </w:p>
    <w:p w:rsidR="00057D67" w:rsidRPr="00347050" w:rsidRDefault="00057D67" w:rsidP="00057D67">
      <w:pPr>
        <w:rPr>
          <w:sz w:val="16"/>
        </w:rPr>
      </w:pPr>
      <w:r w:rsidRPr="00347050">
        <w:rPr>
          <w:sz w:val="16"/>
        </w:rPr>
        <w:t xml:space="preserve">waarbij: </w:t>
      </w:r>
    </w:p>
    <w:p w:rsidR="00057D67" w:rsidRPr="00347050" w:rsidRDefault="00057D67" w:rsidP="00057D67">
      <w:pPr>
        <w:rPr>
          <w:sz w:val="16"/>
        </w:rPr>
      </w:pPr>
      <w:proofErr w:type="spellStart"/>
      <w:r w:rsidRPr="00347050">
        <w:rPr>
          <w:sz w:val="16"/>
        </w:rPr>
        <w:t>C</w:t>
      </w:r>
      <w:r w:rsidRPr="00347050">
        <w:rPr>
          <w:sz w:val="16"/>
          <w:vertAlign w:val="subscript"/>
        </w:rPr>
        <w:t>gr</w:t>
      </w:r>
      <w:proofErr w:type="spellEnd"/>
      <w:r w:rsidRPr="00347050">
        <w:rPr>
          <w:sz w:val="16"/>
        </w:rPr>
        <w:t xml:space="preserve"> = asbestconcentratie fractie groter dan 16 millimeter </w:t>
      </w:r>
    </w:p>
    <w:p w:rsidR="00057D67" w:rsidRPr="00347050" w:rsidRDefault="00057D67" w:rsidP="00057D67">
      <w:pPr>
        <w:rPr>
          <w:sz w:val="16"/>
        </w:rPr>
      </w:pPr>
      <w:r w:rsidRPr="00347050">
        <w:rPr>
          <w:sz w:val="16"/>
        </w:rPr>
        <w:t xml:space="preserve">M = massa asbestverdacht materiaal in mg </w:t>
      </w:r>
    </w:p>
    <w:p w:rsidR="00057D67" w:rsidRPr="00347050" w:rsidRDefault="00057D67" w:rsidP="00057D67">
      <w:pPr>
        <w:rPr>
          <w:sz w:val="16"/>
        </w:rPr>
      </w:pPr>
      <w:r w:rsidRPr="00347050">
        <w:rPr>
          <w:sz w:val="16"/>
        </w:rPr>
        <w:t>% = gemiddeld % asbest in materiaal</w:t>
      </w:r>
    </w:p>
    <w:p w:rsidR="00057D67" w:rsidRPr="00347050" w:rsidRDefault="00057D67" w:rsidP="00057D67">
      <w:pPr>
        <w:rPr>
          <w:sz w:val="16"/>
        </w:rPr>
      </w:pPr>
      <w:r w:rsidRPr="00347050">
        <w:rPr>
          <w:sz w:val="16"/>
        </w:rPr>
        <w:t xml:space="preserve">V = volume gegraven inspectiegat </w:t>
      </w:r>
    </w:p>
    <w:p w:rsidR="00057D67" w:rsidRPr="00347050" w:rsidRDefault="00057D67" w:rsidP="00057D67">
      <w:pPr>
        <w:rPr>
          <w:sz w:val="16"/>
        </w:rPr>
      </w:pPr>
      <w:r w:rsidRPr="00347050">
        <w:rPr>
          <w:sz w:val="16"/>
        </w:rPr>
        <w:t xml:space="preserve">n = stortgewicht grond </w:t>
      </w:r>
    </w:p>
    <w:p w:rsidR="00057D67" w:rsidRPr="00347050" w:rsidRDefault="00057D67" w:rsidP="00057D67">
      <w:pPr>
        <w:rPr>
          <w:sz w:val="16"/>
        </w:rPr>
      </w:pPr>
      <w:r w:rsidRPr="00347050">
        <w:rPr>
          <w:sz w:val="16"/>
        </w:rPr>
        <w:t xml:space="preserve">E = inspectie efficiëntie </w:t>
      </w:r>
    </w:p>
    <w:p w:rsidR="00057D67" w:rsidRPr="00347050" w:rsidRDefault="00057D67" w:rsidP="00057D67">
      <w:pPr>
        <w:rPr>
          <w:sz w:val="16"/>
        </w:rPr>
      </w:pPr>
      <w:proofErr w:type="spellStart"/>
      <w:r w:rsidRPr="00347050">
        <w:rPr>
          <w:sz w:val="16"/>
        </w:rPr>
        <w:t>ds</w:t>
      </w:r>
      <w:proofErr w:type="spellEnd"/>
      <w:r w:rsidRPr="00347050">
        <w:rPr>
          <w:sz w:val="16"/>
        </w:rPr>
        <w:t xml:space="preserve"> = droge stof gehalte bepaald doormiddel van veldmeting*</w:t>
      </w:r>
    </w:p>
    <w:p w:rsidR="00057D67" w:rsidRPr="00347050" w:rsidRDefault="00057D67" w:rsidP="00057D67">
      <w:pPr>
        <w:rPr>
          <w:sz w:val="16"/>
        </w:rPr>
      </w:pPr>
      <w:r w:rsidRPr="00347050">
        <w:rPr>
          <w:sz w:val="16"/>
        </w:rPr>
        <w:t>* op het analysecertificaten van Search staat bij de materiaal monsters eveneens een gehalte droge stof, dit is echter het droge stofgehalte van het materiaal en is voor deze calculatie niet relevant</w:t>
      </w:r>
    </w:p>
    <w:p w:rsidR="00057D67" w:rsidRPr="00347050" w:rsidRDefault="00057D67" w:rsidP="00057D67"/>
    <w:p w:rsidR="00057D67" w:rsidRPr="00347050" w:rsidRDefault="00057D67" w:rsidP="00057D67">
      <w:r w:rsidRPr="00347050">
        <w:t>Voor de totale asbestconcentratie (</w:t>
      </w:r>
      <w:proofErr w:type="spellStart"/>
      <w:r w:rsidRPr="00347050">
        <w:t>C</w:t>
      </w:r>
      <w:r w:rsidRPr="00347050">
        <w:rPr>
          <w:vertAlign w:val="subscript"/>
        </w:rPr>
        <w:t>tot</w:t>
      </w:r>
      <w:proofErr w:type="spellEnd"/>
      <w:r w:rsidRPr="00347050">
        <w:t>) dient het gehalte van de fractie groter dan 16 millimeter (</w:t>
      </w:r>
      <w:proofErr w:type="spellStart"/>
      <w:r w:rsidRPr="00347050">
        <w:t>C</w:t>
      </w:r>
      <w:r w:rsidRPr="00347050">
        <w:rPr>
          <w:vertAlign w:val="subscript"/>
        </w:rPr>
        <w:t>gr</w:t>
      </w:r>
      <w:proofErr w:type="spellEnd"/>
      <w:r w:rsidRPr="00347050">
        <w:t>) opgeteld te worden met de concentratie die door het laboratorium in de grondmonsters aangetro</w:t>
      </w:r>
      <w:r w:rsidRPr="00347050">
        <w:t>f</w:t>
      </w:r>
      <w:r w:rsidRPr="00347050">
        <w:t>fen wordt (C</w:t>
      </w:r>
      <w:r w:rsidRPr="00347050">
        <w:rPr>
          <w:vertAlign w:val="subscript"/>
        </w:rPr>
        <w:t>f</w:t>
      </w:r>
      <w:r w:rsidRPr="00347050">
        <w:t>).</w:t>
      </w:r>
    </w:p>
    <w:p w:rsidR="00581E74" w:rsidRDefault="00581E74"/>
    <w:sectPr w:rsidR="00581E74" w:rsidSect="00581E74">
      <w:pgSz w:w="11906" w:h="16838" w:code="9"/>
      <w:pgMar w:top="1418" w:right="1077" w:bottom="1985" w:left="2552" w:header="709" w:footer="1418" w:gutter="0"/>
      <w:paperSrc w:first="1" w:other="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5D6FB5"/>
    <w:multiLevelType w:val="hybridMultilevel"/>
    <w:tmpl w:val="92C2B560"/>
    <w:lvl w:ilvl="0" w:tplc="503C8602">
      <w:start w:val="1"/>
      <w:numFmt w:val="bullet"/>
      <w:lvlText w:val=""/>
      <w:lvlJc w:val="left"/>
      <w:pPr>
        <w:tabs>
          <w:tab w:val="num" w:pos="360"/>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6C3E4BD7"/>
    <w:multiLevelType w:val="hybridMultilevel"/>
    <w:tmpl w:val="620AAC84"/>
    <w:lvl w:ilvl="0" w:tplc="CC4879AC">
      <w:start w:val="1"/>
      <w:numFmt w:val="bullet"/>
      <w:pStyle w:val="lijst"/>
      <w:lvlText w:val=""/>
      <w:lvlJc w:val="left"/>
      <w:pPr>
        <w:tabs>
          <w:tab w:val="num" w:pos="360"/>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6F6C5FE6"/>
    <w:multiLevelType w:val="multilevel"/>
    <w:tmpl w:val="29EEEB96"/>
    <w:lvl w:ilvl="0">
      <w:start w:val="1"/>
      <w:numFmt w:val="decimal"/>
      <w:pStyle w:val="Kop1"/>
      <w:lvlText w:val="%1"/>
      <w:lvlJc w:val="left"/>
      <w:pPr>
        <w:tabs>
          <w:tab w:val="num" w:pos="0"/>
        </w:tabs>
        <w:ind w:left="0" w:hanging="1134"/>
      </w:pPr>
      <w:rPr>
        <w:rFonts w:hint="default"/>
      </w:rPr>
    </w:lvl>
    <w:lvl w:ilvl="1">
      <w:start w:val="1"/>
      <w:numFmt w:val="decimal"/>
      <w:pStyle w:val="Kop2"/>
      <w:lvlText w:val="%1.%2"/>
      <w:lvlJc w:val="left"/>
      <w:pPr>
        <w:tabs>
          <w:tab w:val="num" w:pos="567"/>
        </w:tabs>
        <w:ind w:left="567" w:hanging="567"/>
      </w:pPr>
      <w:rPr>
        <w:rFonts w:ascii="Calibri" w:hAnsi="Calibri" w:hint="default"/>
        <w:b/>
        <w:i w:val="0"/>
        <w:sz w:val="20"/>
        <w:szCs w:val="20"/>
      </w:rPr>
    </w:lvl>
    <w:lvl w:ilvl="2">
      <w:start w:val="1"/>
      <w:numFmt w:val="decimal"/>
      <w:pStyle w:val="Kop3"/>
      <w:lvlText w:val="%1.%2.%3"/>
      <w:lvlJc w:val="left"/>
      <w:pPr>
        <w:tabs>
          <w:tab w:val="num" w:pos="567"/>
        </w:tabs>
        <w:ind w:left="567" w:hanging="567"/>
      </w:pPr>
      <w:rPr>
        <w:rFonts w:ascii="Calibri" w:hAnsi="Calibri" w:hint="default"/>
        <w:b/>
        <w:i w:val="0"/>
        <w:sz w:val="20"/>
        <w:szCs w:val="20"/>
      </w:rPr>
    </w:lvl>
    <w:lvl w:ilvl="3">
      <w:start w:val="1"/>
      <w:numFmt w:val="decimal"/>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78"/>
  <w:displayHorizontalDrawingGridEvery w:val="2"/>
  <w:displayVerticalDrawingGridEvery w:val="2"/>
  <w:noPunctuationKerning/>
  <w:characterSpacingControl w:val="doNotCompress"/>
  <w:compat/>
  <w:rsids>
    <w:rsidRoot w:val="00057D67"/>
    <w:rsid w:val="00001CE9"/>
    <w:rsid w:val="0000574D"/>
    <w:rsid w:val="00012D2B"/>
    <w:rsid w:val="00016587"/>
    <w:rsid w:val="000242DA"/>
    <w:rsid w:val="0002777F"/>
    <w:rsid w:val="00030BAA"/>
    <w:rsid w:val="0003126B"/>
    <w:rsid w:val="0003457F"/>
    <w:rsid w:val="00041638"/>
    <w:rsid w:val="00044043"/>
    <w:rsid w:val="00054468"/>
    <w:rsid w:val="00054936"/>
    <w:rsid w:val="00055DB8"/>
    <w:rsid w:val="00057D67"/>
    <w:rsid w:val="000779A8"/>
    <w:rsid w:val="000817FE"/>
    <w:rsid w:val="00091E03"/>
    <w:rsid w:val="00092518"/>
    <w:rsid w:val="000970E7"/>
    <w:rsid w:val="000A5033"/>
    <w:rsid w:val="000A664C"/>
    <w:rsid w:val="000A7BE6"/>
    <w:rsid w:val="000B47F0"/>
    <w:rsid w:val="000B5A1A"/>
    <w:rsid w:val="000B6FC5"/>
    <w:rsid w:val="000D0E16"/>
    <w:rsid w:val="000D2FF0"/>
    <w:rsid w:val="000D3ADF"/>
    <w:rsid w:val="000D68B9"/>
    <w:rsid w:val="000F0068"/>
    <w:rsid w:val="00100092"/>
    <w:rsid w:val="001046F9"/>
    <w:rsid w:val="001124B0"/>
    <w:rsid w:val="00116250"/>
    <w:rsid w:val="0012144A"/>
    <w:rsid w:val="001279FB"/>
    <w:rsid w:val="00131E90"/>
    <w:rsid w:val="001375D0"/>
    <w:rsid w:val="00146A3B"/>
    <w:rsid w:val="00155600"/>
    <w:rsid w:val="00160C6B"/>
    <w:rsid w:val="00172899"/>
    <w:rsid w:val="00173A4F"/>
    <w:rsid w:val="00173D68"/>
    <w:rsid w:val="0017603E"/>
    <w:rsid w:val="001762CD"/>
    <w:rsid w:val="00182A69"/>
    <w:rsid w:val="0018666A"/>
    <w:rsid w:val="00196790"/>
    <w:rsid w:val="00197ED5"/>
    <w:rsid w:val="001A32D1"/>
    <w:rsid w:val="001A3BFE"/>
    <w:rsid w:val="001A58CB"/>
    <w:rsid w:val="001B20B6"/>
    <w:rsid w:val="001B66D0"/>
    <w:rsid w:val="001C36CD"/>
    <w:rsid w:val="001C67BD"/>
    <w:rsid w:val="001D05A8"/>
    <w:rsid w:val="001D0975"/>
    <w:rsid w:val="001D2CC0"/>
    <w:rsid w:val="001D446C"/>
    <w:rsid w:val="001D684C"/>
    <w:rsid w:val="001F3948"/>
    <w:rsid w:val="001F7F0C"/>
    <w:rsid w:val="00200367"/>
    <w:rsid w:val="0020601B"/>
    <w:rsid w:val="00211192"/>
    <w:rsid w:val="00211BEB"/>
    <w:rsid w:val="002159DC"/>
    <w:rsid w:val="002229E2"/>
    <w:rsid w:val="00223F49"/>
    <w:rsid w:val="00231E96"/>
    <w:rsid w:val="002334D7"/>
    <w:rsid w:val="00236031"/>
    <w:rsid w:val="00240A28"/>
    <w:rsid w:val="00245B40"/>
    <w:rsid w:val="002536E6"/>
    <w:rsid w:val="00253EE2"/>
    <w:rsid w:val="00256A3F"/>
    <w:rsid w:val="00257EAA"/>
    <w:rsid w:val="002621C6"/>
    <w:rsid w:val="002660D4"/>
    <w:rsid w:val="002668EC"/>
    <w:rsid w:val="00275256"/>
    <w:rsid w:val="00285EAA"/>
    <w:rsid w:val="00290775"/>
    <w:rsid w:val="0029302D"/>
    <w:rsid w:val="00295FC7"/>
    <w:rsid w:val="002A1658"/>
    <w:rsid w:val="002A4702"/>
    <w:rsid w:val="002B5F17"/>
    <w:rsid w:val="002D0750"/>
    <w:rsid w:val="002D29FD"/>
    <w:rsid w:val="002D74CF"/>
    <w:rsid w:val="002E15AC"/>
    <w:rsid w:val="002F44B5"/>
    <w:rsid w:val="00300138"/>
    <w:rsid w:val="0030178E"/>
    <w:rsid w:val="003060D0"/>
    <w:rsid w:val="00310E70"/>
    <w:rsid w:val="00335F4E"/>
    <w:rsid w:val="003475F8"/>
    <w:rsid w:val="00347839"/>
    <w:rsid w:val="00350CED"/>
    <w:rsid w:val="00356473"/>
    <w:rsid w:val="00366376"/>
    <w:rsid w:val="00373CAE"/>
    <w:rsid w:val="00381A00"/>
    <w:rsid w:val="00387CE8"/>
    <w:rsid w:val="003937F6"/>
    <w:rsid w:val="00394152"/>
    <w:rsid w:val="003A781B"/>
    <w:rsid w:val="003B00E6"/>
    <w:rsid w:val="003D7C5B"/>
    <w:rsid w:val="003E2A00"/>
    <w:rsid w:val="003E6938"/>
    <w:rsid w:val="0040094B"/>
    <w:rsid w:val="00401698"/>
    <w:rsid w:val="00402D45"/>
    <w:rsid w:val="00407FA8"/>
    <w:rsid w:val="0041012E"/>
    <w:rsid w:val="004132B8"/>
    <w:rsid w:val="00417E0C"/>
    <w:rsid w:val="004239C2"/>
    <w:rsid w:val="00426D04"/>
    <w:rsid w:val="004275A4"/>
    <w:rsid w:val="00434306"/>
    <w:rsid w:val="004360BC"/>
    <w:rsid w:val="00437806"/>
    <w:rsid w:val="00441695"/>
    <w:rsid w:val="004444AF"/>
    <w:rsid w:val="00445E15"/>
    <w:rsid w:val="00452568"/>
    <w:rsid w:val="00454772"/>
    <w:rsid w:val="00455815"/>
    <w:rsid w:val="00455CA3"/>
    <w:rsid w:val="004576A8"/>
    <w:rsid w:val="00460E5A"/>
    <w:rsid w:val="004622D1"/>
    <w:rsid w:val="004646D8"/>
    <w:rsid w:val="00474887"/>
    <w:rsid w:val="004756A2"/>
    <w:rsid w:val="00475BE2"/>
    <w:rsid w:val="004767AF"/>
    <w:rsid w:val="00477B02"/>
    <w:rsid w:val="00485DBD"/>
    <w:rsid w:val="00486CE3"/>
    <w:rsid w:val="00495ED4"/>
    <w:rsid w:val="004A08C2"/>
    <w:rsid w:val="004A343E"/>
    <w:rsid w:val="004A4013"/>
    <w:rsid w:val="004A7853"/>
    <w:rsid w:val="004B6C27"/>
    <w:rsid w:val="004B79E2"/>
    <w:rsid w:val="004C2519"/>
    <w:rsid w:val="004D039C"/>
    <w:rsid w:val="004D45FF"/>
    <w:rsid w:val="004E2AEE"/>
    <w:rsid w:val="004E3348"/>
    <w:rsid w:val="004E7873"/>
    <w:rsid w:val="004F2163"/>
    <w:rsid w:val="00500C27"/>
    <w:rsid w:val="00504534"/>
    <w:rsid w:val="00506335"/>
    <w:rsid w:val="00511C0D"/>
    <w:rsid w:val="00511D6A"/>
    <w:rsid w:val="00514217"/>
    <w:rsid w:val="005169EC"/>
    <w:rsid w:val="005227B4"/>
    <w:rsid w:val="00522A60"/>
    <w:rsid w:val="00537835"/>
    <w:rsid w:val="00542664"/>
    <w:rsid w:val="00543962"/>
    <w:rsid w:val="00545D3B"/>
    <w:rsid w:val="0055720F"/>
    <w:rsid w:val="0056192B"/>
    <w:rsid w:val="0057289B"/>
    <w:rsid w:val="00581E74"/>
    <w:rsid w:val="0058384F"/>
    <w:rsid w:val="005913C6"/>
    <w:rsid w:val="0059695D"/>
    <w:rsid w:val="005A082C"/>
    <w:rsid w:val="005A2F4F"/>
    <w:rsid w:val="005A325A"/>
    <w:rsid w:val="005A635F"/>
    <w:rsid w:val="005B1619"/>
    <w:rsid w:val="005C58C4"/>
    <w:rsid w:val="005E16FF"/>
    <w:rsid w:val="005E1EDD"/>
    <w:rsid w:val="005E3FFA"/>
    <w:rsid w:val="005F7559"/>
    <w:rsid w:val="00602400"/>
    <w:rsid w:val="006032B4"/>
    <w:rsid w:val="006049C7"/>
    <w:rsid w:val="006079D3"/>
    <w:rsid w:val="00615276"/>
    <w:rsid w:val="0062400C"/>
    <w:rsid w:val="00630ED8"/>
    <w:rsid w:val="0063644C"/>
    <w:rsid w:val="00637DB5"/>
    <w:rsid w:val="00650B60"/>
    <w:rsid w:val="0065591C"/>
    <w:rsid w:val="0065692C"/>
    <w:rsid w:val="006724F5"/>
    <w:rsid w:val="0068104B"/>
    <w:rsid w:val="00686190"/>
    <w:rsid w:val="00690A68"/>
    <w:rsid w:val="00691B56"/>
    <w:rsid w:val="00695450"/>
    <w:rsid w:val="00695985"/>
    <w:rsid w:val="006A1B1A"/>
    <w:rsid w:val="006B2043"/>
    <w:rsid w:val="006B5552"/>
    <w:rsid w:val="006B6888"/>
    <w:rsid w:val="006C0567"/>
    <w:rsid w:val="006C23AB"/>
    <w:rsid w:val="006C60FF"/>
    <w:rsid w:val="006D0E16"/>
    <w:rsid w:val="006D756C"/>
    <w:rsid w:val="006E0BDF"/>
    <w:rsid w:val="006E4C6A"/>
    <w:rsid w:val="006E5C68"/>
    <w:rsid w:val="006E7C7F"/>
    <w:rsid w:val="006F0204"/>
    <w:rsid w:val="006F0E32"/>
    <w:rsid w:val="006F7BFA"/>
    <w:rsid w:val="0070334A"/>
    <w:rsid w:val="00710943"/>
    <w:rsid w:val="007144C3"/>
    <w:rsid w:val="00715771"/>
    <w:rsid w:val="00730332"/>
    <w:rsid w:val="00735047"/>
    <w:rsid w:val="0074449F"/>
    <w:rsid w:val="00747264"/>
    <w:rsid w:val="0075497A"/>
    <w:rsid w:val="00763A09"/>
    <w:rsid w:val="00764552"/>
    <w:rsid w:val="007647E8"/>
    <w:rsid w:val="007739A6"/>
    <w:rsid w:val="00775A9F"/>
    <w:rsid w:val="00785A1B"/>
    <w:rsid w:val="00787CDC"/>
    <w:rsid w:val="007937D0"/>
    <w:rsid w:val="007A3529"/>
    <w:rsid w:val="007A44DF"/>
    <w:rsid w:val="007A72AB"/>
    <w:rsid w:val="007A7987"/>
    <w:rsid w:val="007C0993"/>
    <w:rsid w:val="007C25CC"/>
    <w:rsid w:val="007C2B10"/>
    <w:rsid w:val="007C5FFA"/>
    <w:rsid w:val="007D4DB3"/>
    <w:rsid w:val="007D6856"/>
    <w:rsid w:val="007D6DE1"/>
    <w:rsid w:val="007D7F5B"/>
    <w:rsid w:val="007E3508"/>
    <w:rsid w:val="007F12C1"/>
    <w:rsid w:val="007F2470"/>
    <w:rsid w:val="007F2FC0"/>
    <w:rsid w:val="00802F73"/>
    <w:rsid w:val="008104D5"/>
    <w:rsid w:val="00821250"/>
    <w:rsid w:val="0082431C"/>
    <w:rsid w:val="00830DE5"/>
    <w:rsid w:val="0083115D"/>
    <w:rsid w:val="00833813"/>
    <w:rsid w:val="008458C0"/>
    <w:rsid w:val="008535DD"/>
    <w:rsid w:val="008603AE"/>
    <w:rsid w:val="00862A3E"/>
    <w:rsid w:val="00862DFE"/>
    <w:rsid w:val="00865167"/>
    <w:rsid w:val="00866736"/>
    <w:rsid w:val="00872662"/>
    <w:rsid w:val="00873FA7"/>
    <w:rsid w:val="00875535"/>
    <w:rsid w:val="00875BEC"/>
    <w:rsid w:val="00882D95"/>
    <w:rsid w:val="0088502B"/>
    <w:rsid w:val="008903D7"/>
    <w:rsid w:val="008926AC"/>
    <w:rsid w:val="00892A58"/>
    <w:rsid w:val="008B0462"/>
    <w:rsid w:val="008B412F"/>
    <w:rsid w:val="008B6CDF"/>
    <w:rsid w:val="008B74ED"/>
    <w:rsid w:val="008B77A5"/>
    <w:rsid w:val="008C19DD"/>
    <w:rsid w:val="008D2B1D"/>
    <w:rsid w:val="008D3EC4"/>
    <w:rsid w:val="008D4C6C"/>
    <w:rsid w:val="008D7904"/>
    <w:rsid w:val="008E3F36"/>
    <w:rsid w:val="008E4572"/>
    <w:rsid w:val="008E5112"/>
    <w:rsid w:val="00900C38"/>
    <w:rsid w:val="00903427"/>
    <w:rsid w:val="00904CEA"/>
    <w:rsid w:val="00911BDC"/>
    <w:rsid w:val="00913A8D"/>
    <w:rsid w:val="00920966"/>
    <w:rsid w:val="00920C9A"/>
    <w:rsid w:val="00927D53"/>
    <w:rsid w:val="009444D5"/>
    <w:rsid w:val="00944B93"/>
    <w:rsid w:val="00945977"/>
    <w:rsid w:val="00952C8C"/>
    <w:rsid w:val="0095351A"/>
    <w:rsid w:val="00953875"/>
    <w:rsid w:val="00965A66"/>
    <w:rsid w:val="00970AC5"/>
    <w:rsid w:val="00973BC4"/>
    <w:rsid w:val="009764E4"/>
    <w:rsid w:val="00981CFC"/>
    <w:rsid w:val="00984846"/>
    <w:rsid w:val="00992185"/>
    <w:rsid w:val="00997CD8"/>
    <w:rsid w:val="009A23B4"/>
    <w:rsid w:val="009A3F1C"/>
    <w:rsid w:val="009C2E9A"/>
    <w:rsid w:val="009C5407"/>
    <w:rsid w:val="009D3DB6"/>
    <w:rsid w:val="009D4C12"/>
    <w:rsid w:val="009E4C22"/>
    <w:rsid w:val="009E5A33"/>
    <w:rsid w:val="009F21E3"/>
    <w:rsid w:val="009F26F9"/>
    <w:rsid w:val="009F3490"/>
    <w:rsid w:val="009F5CC2"/>
    <w:rsid w:val="00A167E1"/>
    <w:rsid w:val="00A23882"/>
    <w:rsid w:val="00A23FC1"/>
    <w:rsid w:val="00A45EA2"/>
    <w:rsid w:val="00A53865"/>
    <w:rsid w:val="00A54EF3"/>
    <w:rsid w:val="00A54F2F"/>
    <w:rsid w:val="00A56535"/>
    <w:rsid w:val="00A635FB"/>
    <w:rsid w:val="00A63CD2"/>
    <w:rsid w:val="00A65ECA"/>
    <w:rsid w:val="00A67235"/>
    <w:rsid w:val="00A74987"/>
    <w:rsid w:val="00A76339"/>
    <w:rsid w:val="00A80BCC"/>
    <w:rsid w:val="00A83DC9"/>
    <w:rsid w:val="00A85C8C"/>
    <w:rsid w:val="00A97240"/>
    <w:rsid w:val="00AA6B73"/>
    <w:rsid w:val="00AA7DF5"/>
    <w:rsid w:val="00AB2470"/>
    <w:rsid w:val="00AB526E"/>
    <w:rsid w:val="00AC7B2A"/>
    <w:rsid w:val="00AD3EF6"/>
    <w:rsid w:val="00AE0B87"/>
    <w:rsid w:val="00AE125A"/>
    <w:rsid w:val="00AF1FC5"/>
    <w:rsid w:val="00AF6147"/>
    <w:rsid w:val="00B06B1E"/>
    <w:rsid w:val="00B12CB7"/>
    <w:rsid w:val="00B146F8"/>
    <w:rsid w:val="00B14B05"/>
    <w:rsid w:val="00B155CE"/>
    <w:rsid w:val="00B223F1"/>
    <w:rsid w:val="00B24B3A"/>
    <w:rsid w:val="00B254D0"/>
    <w:rsid w:val="00B30A7A"/>
    <w:rsid w:val="00B4322C"/>
    <w:rsid w:val="00B50544"/>
    <w:rsid w:val="00B52FD3"/>
    <w:rsid w:val="00B572BC"/>
    <w:rsid w:val="00B672BC"/>
    <w:rsid w:val="00B70E55"/>
    <w:rsid w:val="00B7127D"/>
    <w:rsid w:val="00B72378"/>
    <w:rsid w:val="00B72523"/>
    <w:rsid w:val="00B7314E"/>
    <w:rsid w:val="00B76E3A"/>
    <w:rsid w:val="00B76F86"/>
    <w:rsid w:val="00B84A76"/>
    <w:rsid w:val="00B87CF2"/>
    <w:rsid w:val="00BA3927"/>
    <w:rsid w:val="00BA57A0"/>
    <w:rsid w:val="00BD20FA"/>
    <w:rsid w:val="00BD35CF"/>
    <w:rsid w:val="00BE67C8"/>
    <w:rsid w:val="00BE71D5"/>
    <w:rsid w:val="00BF4067"/>
    <w:rsid w:val="00BF59CE"/>
    <w:rsid w:val="00C00D56"/>
    <w:rsid w:val="00C071C0"/>
    <w:rsid w:val="00C11BEA"/>
    <w:rsid w:val="00C15905"/>
    <w:rsid w:val="00C173CA"/>
    <w:rsid w:val="00C20555"/>
    <w:rsid w:val="00C32FE9"/>
    <w:rsid w:val="00C342DC"/>
    <w:rsid w:val="00C35615"/>
    <w:rsid w:val="00C36092"/>
    <w:rsid w:val="00C37CC6"/>
    <w:rsid w:val="00C40818"/>
    <w:rsid w:val="00C469BE"/>
    <w:rsid w:val="00C520D4"/>
    <w:rsid w:val="00C544E8"/>
    <w:rsid w:val="00C546EE"/>
    <w:rsid w:val="00C614EF"/>
    <w:rsid w:val="00C66A3D"/>
    <w:rsid w:val="00C75294"/>
    <w:rsid w:val="00C76B8A"/>
    <w:rsid w:val="00C840BE"/>
    <w:rsid w:val="00C84BF1"/>
    <w:rsid w:val="00C86DFA"/>
    <w:rsid w:val="00C921F0"/>
    <w:rsid w:val="00CA1942"/>
    <w:rsid w:val="00CB1E4A"/>
    <w:rsid w:val="00CB3CCD"/>
    <w:rsid w:val="00CB3EFA"/>
    <w:rsid w:val="00CB7AF2"/>
    <w:rsid w:val="00CC0981"/>
    <w:rsid w:val="00CC1DD8"/>
    <w:rsid w:val="00CC5BAD"/>
    <w:rsid w:val="00CC7F12"/>
    <w:rsid w:val="00CE148B"/>
    <w:rsid w:val="00CE1FE8"/>
    <w:rsid w:val="00CF0783"/>
    <w:rsid w:val="00CF1B00"/>
    <w:rsid w:val="00CF1E20"/>
    <w:rsid w:val="00CF281C"/>
    <w:rsid w:val="00D01C61"/>
    <w:rsid w:val="00D03BAF"/>
    <w:rsid w:val="00D03D45"/>
    <w:rsid w:val="00D0506B"/>
    <w:rsid w:val="00D107F0"/>
    <w:rsid w:val="00D12862"/>
    <w:rsid w:val="00D24ED7"/>
    <w:rsid w:val="00D26954"/>
    <w:rsid w:val="00D369E1"/>
    <w:rsid w:val="00D36B0B"/>
    <w:rsid w:val="00D46D14"/>
    <w:rsid w:val="00D5083D"/>
    <w:rsid w:val="00D6563C"/>
    <w:rsid w:val="00D67DA1"/>
    <w:rsid w:val="00D74CF7"/>
    <w:rsid w:val="00D763F8"/>
    <w:rsid w:val="00D80B20"/>
    <w:rsid w:val="00D84D10"/>
    <w:rsid w:val="00D93B9A"/>
    <w:rsid w:val="00DA1B34"/>
    <w:rsid w:val="00DB4177"/>
    <w:rsid w:val="00DB5E3E"/>
    <w:rsid w:val="00DC1952"/>
    <w:rsid w:val="00DC1E66"/>
    <w:rsid w:val="00DC7712"/>
    <w:rsid w:val="00DD3893"/>
    <w:rsid w:val="00DD3CF2"/>
    <w:rsid w:val="00DD526B"/>
    <w:rsid w:val="00DD59A9"/>
    <w:rsid w:val="00DD777B"/>
    <w:rsid w:val="00DE07FF"/>
    <w:rsid w:val="00DE0B4D"/>
    <w:rsid w:val="00DF05D2"/>
    <w:rsid w:val="00DF2653"/>
    <w:rsid w:val="00DF6186"/>
    <w:rsid w:val="00E03951"/>
    <w:rsid w:val="00E2013D"/>
    <w:rsid w:val="00E215C2"/>
    <w:rsid w:val="00E22DFA"/>
    <w:rsid w:val="00E2342F"/>
    <w:rsid w:val="00E41840"/>
    <w:rsid w:val="00E45A90"/>
    <w:rsid w:val="00E45FF1"/>
    <w:rsid w:val="00E54791"/>
    <w:rsid w:val="00E62D1D"/>
    <w:rsid w:val="00E6415F"/>
    <w:rsid w:val="00E655A2"/>
    <w:rsid w:val="00E66B8D"/>
    <w:rsid w:val="00E7267A"/>
    <w:rsid w:val="00E81274"/>
    <w:rsid w:val="00E85779"/>
    <w:rsid w:val="00E863CB"/>
    <w:rsid w:val="00E8709D"/>
    <w:rsid w:val="00EA136A"/>
    <w:rsid w:val="00EA37D8"/>
    <w:rsid w:val="00EA515B"/>
    <w:rsid w:val="00EA74D8"/>
    <w:rsid w:val="00EB0A12"/>
    <w:rsid w:val="00EC571C"/>
    <w:rsid w:val="00ED627F"/>
    <w:rsid w:val="00ED7DBB"/>
    <w:rsid w:val="00EE0D3A"/>
    <w:rsid w:val="00EE5FAE"/>
    <w:rsid w:val="00EF0E71"/>
    <w:rsid w:val="00F0188C"/>
    <w:rsid w:val="00F049C0"/>
    <w:rsid w:val="00F11AD9"/>
    <w:rsid w:val="00F15AD1"/>
    <w:rsid w:val="00F21C44"/>
    <w:rsid w:val="00F249E0"/>
    <w:rsid w:val="00F30F9D"/>
    <w:rsid w:val="00F31D4B"/>
    <w:rsid w:val="00F4605D"/>
    <w:rsid w:val="00F50FD8"/>
    <w:rsid w:val="00F53D2E"/>
    <w:rsid w:val="00F54FBB"/>
    <w:rsid w:val="00F55C94"/>
    <w:rsid w:val="00F8149B"/>
    <w:rsid w:val="00F87DE2"/>
    <w:rsid w:val="00FA25F1"/>
    <w:rsid w:val="00FA27F4"/>
    <w:rsid w:val="00FA5A74"/>
    <w:rsid w:val="00FA745E"/>
    <w:rsid w:val="00FB67E8"/>
    <w:rsid w:val="00FC232D"/>
    <w:rsid w:val="00FC3143"/>
    <w:rsid w:val="00FC53F5"/>
    <w:rsid w:val="00FC6C38"/>
    <w:rsid w:val="00FD3977"/>
    <w:rsid w:val="00FE15A4"/>
    <w:rsid w:val="00FE1F43"/>
    <w:rsid w:val="00FF2425"/>
    <w:rsid w:val="00FF53E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57D67"/>
    <w:pPr>
      <w:spacing w:line="360" w:lineRule="auto"/>
      <w:jc w:val="both"/>
    </w:pPr>
    <w:rPr>
      <w:rFonts w:ascii="Calibri" w:hAnsi="Calibri"/>
    </w:rPr>
  </w:style>
  <w:style w:type="paragraph" w:styleId="Kop1">
    <w:name w:val="heading 1"/>
    <w:basedOn w:val="Standaard"/>
    <w:next w:val="Standaard"/>
    <w:link w:val="Kop1Char"/>
    <w:autoRedefine/>
    <w:qFormat/>
    <w:rsid w:val="00057D67"/>
    <w:pPr>
      <w:keepNext/>
      <w:pageBreakBefore/>
      <w:numPr>
        <w:numId w:val="1"/>
      </w:numPr>
      <w:spacing w:before="240" w:after="60"/>
      <w:outlineLvl w:val="0"/>
    </w:pPr>
    <w:rPr>
      <w:rFonts w:cs="Arial"/>
      <w:b/>
      <w:bCs/>
      <w:caps/>
      <w:kern w:val="32"/>
      <w:sz w:val="28"/>
      <w:szCs w:val="28"/>
    </w:rPr>
  </w:style>
  <w:style w:type="paragraph" w:styleId="Kop2">
    <w:name w:val="heading 2"/>
    <w:basedOn w:val="Standaard"/>
    <w:next w:val="Standaard"/>
    <w:link w:val="Kop2Char"/>
    <w:autoRedefine/>
    <w:qFormat/>
    <w:rsid w:val="00057D67"/>
    <w:pPr>
      <w:keepNext/>
      <w:numPr>
        <w:ilvl w:val="1"/>
        <w:numId w:val="1"/>
      </w:numPr>
      <w:spacing w:before="240" w:after="60"/>
      <w:outlineLvl w:val="1"/>
    </w:pPr>
    <w:rPr>
      <w:rFonts w:cs="Arial"/>
      <w:b/>
      <w:bCs/>
      <w:iCs/>
    </w:rPr>
  </w:style>
  <w:style w:type="paragraph" w:styleId="Kop3">
    <w:name w:val="heading 3"/>
    <w:basedOn w:val="Standaard"/>
    <w:next w:val="Standaard"/>
    <w:link w:val="Kop3Char"/>
    <w:autoRedefine/>
    <w:qFormat/>
    <w:rsid w:val="00057D67"/>
    <w:pPr>
      <w:keepNext/>
      <w:numPr>
        <w:ilvl w:val="2"/>
        <w:numId w:val="1"/>
      </w:numPr>
      <w:spacing w:before="240" w:after="60"/>
      <w:outlineLvl w:val="2"/>
    </w:pPr>
    <w:rPr>
      <w:rFonts w:cs="Arial"/>
      <w:b/>
      <w:bCs/>
      <w:szCs w:val="26"/>
    </w:rPr>
  </w:style>
  <w:style w:type="paragraph" w:styleId="Kop5">
    <w:name w:val="heading 5"/>
    <w:basedOn w:val="Standaard"/>
    <w:next w:val="Standaard"/>
    <w:link w:val="Kop5Char"/>
    <w:qFormat/>
    <w:rsid w:val="00057D67"/>
    <w:pPr>
      <w:numPr>
        <w:ilvl w:val="4"/>
        <w:numId w:val="1"/>
      </w:numPr>
      <w:spacing w:before="240" w:after="60"/>
      <w:outlineLvl w:val="4"/>
    </w:pPr>
    <w:rPr>
      <w:b/>
      <w:bCs/>
      <w:i/>
      <w:iCs/>
      <w:sz w:val="26"/>
      <w:szCs w:val="26"/>
    </w:rPr>
  </w:style>
  <w:style w:type="paragraph" w:styleId="Kop6">
    <w:name w:val="heading 6"/>
    <w:basedOn w:val="Standaard"/>
    <w:next w:val="Standaard"/>
    <w:link w:val="Kop6Char"/>
    <w:qFormat/>
    <w:rsid w:val="00057D67"/>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057D67"/>
    <w:pPr>
      <w:numPr>
        <w:ilvl w:val="6"/>
        <w:numId w:val="1"/>
      </w:numPr>
      <w:spacing w:before="240" w:after="60"/>
      <w:outlineLvl w:val="6"/>
    </w:pPr>
    <w:rPr>
      <w:rFonts w:ascii="Times New Roman" w:hAnsi="Times New Roman"/>
      <w:sz w:val="24"/>
      <w:szCs w:val="24"/>
    </w:rPr>
  </w:style>
  <w:style w:type="paragraph" w:styleId="Kop8">
    <w:name w:val="heading 8"/>
    <w:basedOn w:val="Standaard"/>
    <w:next w:val="Standaard"/>
    <w:link w:val="Kop8Char"/>
    <w:qFormat/>
    <w:rsid w:val="00057D67"/>
    <w:pPr>
      <w:numPr>
        <w:ilvl w:val="7"/>
        <w:numId w:val="1"/>
      </w:numPr>
      <w:spacing w:before="240" w:after="60"/>
      <w:outlineLvl w:val="7"/>
    </w:pPr>
    <w:rPr>
      <w:rFonts w:ascii="Times New Roman" w:hAnsi="Times New Roman"/>
      <w:i/>
      <w:iCs/>
      <w:sz w:val="24"/>
      <w:szCs w:val="24"/>
    </w:rPr>
  </w:style>
  <w:style w:type="paragraph" w:styleId="Kop9">
    <w:name w:val="heading 9"/>
    <w:basedOn w:val="Standaard"/>
    <w:next w:val="Standaard"/>
    <w:link w:val="Kop9Char"/>
    <w:qFormat/>
    <w:rsid w:val="00057D67"/>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57D67"/>
    <w:rPr>
      <w:rFonts w:ascii="Calibri" w:hAnsi="Calibri" w:cs="Arial"/>
      <w:b/>
      <w:bCs/>
      <w:caps/>
      <w:kern w:val="32"/>
      <w:sz w:val="28"/>
      <w:szCs w:val="28"/>
    </w:rPr>
  </w:style>
  <w:style w:type="character" w:customStyle="1" w:styleId="Kop2Char">
    <w:name w:val="Kop 2 Char"/>
    <w:basedOn w:val="Standaardalinea-lettertype"/>
    <w:link w:val="Kop2"/>
    <w:rsid w:val="00057D67"/>
    <w:rPr>
      <w:rFonts w:ascii="Calibri" w:hAnsi="Calibri" w:cs="Arial"/>
      <w:b/>
      <w:bCs/>
      <w:iCs/>
    </w:rPr>
  </w:style>
  <w:style w:type="paragraph" w:styleId="Voettekst">
    <w:name w:val="footer"/>
    <w:basedOn w:val="Standaard"/>
    <w:semiHidden/>
    <w:rsid w:val="00581E74"/>
    <w:pPr>
      <w:tabs>
        <w:tab w:val="center" w:pos="4536"/>
        <w:tab w:val="right" w:pos="9072"/>
      </w:tabs>
    </w:pPr>
    <w:rPr>
      <w:sz w:val="16"/>
    </w:rPr>
  </w:style>
  <w:style w:type="paragraph" w:styleId="Koptekst">
    <w:name w:val="header"/>
    <w:basedOn w:val="Standaard"/>
    <w:semiHidden/>
    <w:rsid w:val="00581E74"/>
    <w:pPr>
      <w:tabs>
        <w:tab w:val="center" w:pos="4536"/>
        <w:tab w:val="right" w:pos="9072"/>
      </w:tabs>
    </w:pPr>
    <w:rPr>
      <w:sz w:val="16"/>
    </w:rPr>
  </w:style>
  <w:style w:type="character" w:customStyle="1" w:styleId="Kop3Char">
    <w:name w:val="Kop 3 Char"/>
    <w:basedOn w:val="Standaardalinea-lettertype"/>
    <w:link w:val="Kop3"/>
    <w:rsid w:val="00057D67"/>
    <w:rPr>
      <w:rFonts w:ascii="Calibri" w:hAnsi="Calibri" w:cs="Arial"/>
      <w:b/>
      <w:bCs/>
      <w:szCs w:val="26"/>
    </w:rPr>
  </w:style>
  <w:style w:type="character" w:customStyle="1" w:styleId="Kop5Char">
    <w:name w:val="Kop 5 Char"/>
    <w:basedOn w:val="Standaardalinea-lettertype"/>
    <w:link w:val="Kop5"/>
    <w:rsid w:val="00057D67"/>
    <w:rPr>
      <w:rFonts w:ascii="Calibri" w:hAnsi="Calibri"/>
      <w:b/>
      <w:bCs/>
      <w:i/>
      <w:iCs/>
      <w:sz w:val="26"/>
      <w:szCs w:val="26"/>
    </w:rPr>
  </w:style>
  <w:style w:type="character" w:customStyle="1" w:styleId="Kop6Char">
    <w:name w:val="Kop 6 Char"/>
    <w:basedOn w:val="Standaardalinea-lettertype"/>
    <w:link w:val="Kop6"/>
    <w:rsid w:val="00057D67"/>
    <w:rPr>
      <w:b/>
      <w:bCs/>
      <w:sz w:val="22"/>
      <w:szCs w:val="22"/>
    </w:rPr>
  </w:style>
  <w:style w:type="character" w:customStyle="1" w:styleId="Kop7Char">
    <w:name w:val="Kop 7 Char"/>
    <w:basedOn w:val="Standaardalinea-lettertype"/>
    <w:link w:val="Kop7"/>
    <w:rsid w:val="00057D67"/>
    <w:rPr>
      <w:sz w:val="24"/>
      <w:szCs w:val="24"/>
    </w:rPr>
  </w:style>
  <w:style w:type="character" w:customStyle="1" w:styleId="Kop8Char">
    <w:name w:val="Kop 8 Char"/>
    <w:basedOn w:val="Standaardalinea-lettertype"/>
    <w:link w:val="Kop8"/>
    <w:rsid w:val="00057D67"/>
    <w:rPr>
      <w:i/>
      <w:iCs/>
      <w:sz w:val="24"/>
      <w:szCs w:val="24"/>
    </w:rPr>
  </w:style>
  <w:style w:type="character" w:customStyle="1" w:styleId="Kop9Char">
    <w:name w:val="Kop 9 Char"/>
    <w:basedOn w:val="Standaardalinea-lettertype"/>
    <w:link w:val="Kop9"/>
    <w:rsid w:val="00057D67"/>
    <w:rPr>
      <w:rFonts w:ascii="Arial" w:hAnsi="Arial" w:cs="Arial"/>
      <w:sz w:val="22"/>
      <w:szCs w:val="22"/>
    </w:rPr>
  </w:style>
  <w:style w:type="paragraph" w:customStyle="1" w:styleId="lijst">
    <w:name w:val="lijst"/>
    <w:basedOn w:val="Standaard"/>
    <w:rsid w:val="00057D67"/>
    <w:pPr>
      <w:numPr>
        <w:numId w:val="3"/>
      </w:numPr>
      <w:tabs>
        <w:tab w:val="clear" w:pos="360"/>
        <w:tab w:val="num" w:pos="400"/>
      </w:tabs>
      <w:ind w:left="400" w:hanging="400"/>
    </w:pPr>
  </w:style>
  <w:style w:type="paragraph" w:customStyle="1" w:styleId="lijst-vervolg">
    <w:name w:val="lijst-vervolg"/>
    <w:basedOn w:val="lijst"/>
    <w:rsid w:val="00057D67"/>
    <w:pPr>
      <w:numPr>
        <w:numId w:val="0"/>
      </w:numPr>
      <w:ind w:left="4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tten.overheid.nl/BWBR0023085/Hoofdstuk4/Afdeling1/Paragraaf42/Artikel422/geldigheidsdatum_28-08-2012" TargetMode="External"/><Relationship Id="rId5" Type="http://schemas.openxmlformats.org/officeDocument/2006/relationships/hyperlink" Target="http://wetten.overheid.nl/BWBR0023085/BijlageG/geldigheidsdatum_28-08-2012"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1955</Words>
  <Characters>10756</Characters>
  <Application>Microsoft Office Word</Application>
  <DocSecurity>0</DocSecurity>
  <Lines>89</Lines>
  <Paragraphs>25</Paragraphs>
  <ScaleCrop>false</ScaleCrop>
  <Company/>
  <LinksUpToDate>false</LinksUpToDate>
  <CharactersWithSpaces>12686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Beheerder</cp:lastModifiedBy>
  <cp:revision>1</cp:revision>
  <cp:lastPrinted>2011-02-16T09:34:00Z</cp:lastPrinted>
  <dcterms:created xsi:type="dcterms:W3CDTF">2016-07-14T08:37:00Z</dcterms:created>
  <dcterms:modified xsi:type="dcterms:W3CDTF">2016-07-14T08:43:00Z</dcterms:modified>
</cp:coreProperties>
</file>